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5C5E" w:rsidRPr="009E2B84" w:rsidTr="0047741D">
        <w:trPr>
          <w:gridAfter w:val="1"/>
          <w:wAfter w:w="2835" w:type="dxa"/>
          <w:cantSplit/>
          <w:trHeight w:val="569"/>
        </w:trPr>
        <w:tc>
          <w:tcPr>
            <w:tcW w:w="4786" w:type="dxa"/>
            <w:shd w:val="clear" w:color="auto" w:fill="BFBFBF"/>
            <w:vAlign w:val="center"/>
          </w:tcPr>
          <w:p w:rsidR="002F5C5E" w:rsidRPr="009E2B84" w:rsidRDefault="00876244" w:rsidP="00AC4A99">
            <w:pPr>
              <w:keepNext/>
              <w:shd w:val="clear" w:color="auto" w:fill="BFBFBF"/>
              <w:jc w:val="center"/>
              <w:outlineLvl w:val="0"/>
              <w:rPr>
                <w:b/>
              </w:rPr>
            </w:pPr>
            <w:bookmarkStart w:id="0" w:name="_GoBack"/>
            <w:bookmarkEnd w:id="0"/>
            <w:r>
              <w:rPr>
                <w:noProof/>
              </w:rPr>
              <w:drawing>
                <wp:anchor distT="0" distB="0" distL="114300" distR="114300" simplePos="0" relativeHeight="251657728" behindDoc="1" locked="0" layoutInCell="0" allowOverlap="1">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002F5C5E" w:rsidRPr="009E2B84">
              <w:rPr>
                <w:b/>
              </w:rPr>
              <w:t>REPORT</w:t>
            </w:r>
            <w:r w:rsidR="00FF4999">
              <w:rPr>
                <w:b/>
              </w:rPr>
              <w:t xml:space="preserve"> TO</w:t>
            </w:r>
          </w:p>
        </w:tc>
        <w:tc>
          <w:tcPr>
            <w:tcW w:w="2268" w:type="dxa"/>
            <w:gridSpan w:val="2"/>
            <w:shd w:val="clear" w:color="auto" w:fill="BFBFBF"/>
            <w:vAlign w:val="center"/>
          </w:tcPr>
          <w:p w:rsidR="002F5C5E" w:rsidRPr="009E2B84" w:rsidRDefault="002F5C5E" w:rsidP="00AC4A99">
            <w:pPr>
              <w:jc w:val="center"/>
              <w:rPr>
                <w:b/>
              </w:rPr>
            </w:pPr>
            <w:r w:rsidRPr="009E2B84">
              <w:rPr>
                <w:b/>
              </w:rPr>
              <w:t>ON</w:t>
            </w:r>
          </w:p>
        </w:tc>
      </w:tr>
      <w:tr w:rsidR="002F5C5E" w:rsidRPr="009E2B84" w:rsidTr="0047741D">
        <w:trPr>
          <w:gridAfter w:val="1"/>
          <w:wAfter w:w="2835" w:type="dxa"/>
          <w:cantSplit/>
          <w:trHeight w:val="654"/>
        </w:trPr>
        <w:tc>
          <w:tcPr>
            <w:tcW w:w="4786" w:type="dxa"/>
            <w:tcBorders>
              <w:bottom w:val="nil"/>
            </w:tcBorders>
            <w:vAlign w:val="center"/>
          </w:tcPr>
          <w:p w:rsidR="002F5C5E" w:rsidRPr="00BE2A3F" w:rsidRDefault="00392E2E" w:rsidP="00AC4A99">
            <w:pPr>
              <w:jc w:val="center"/>
              <w:rPr>
                <w:b/>
                <w:szCs w:val="22"/>
              </w:rPr>
            </w:pPr>
            <w:r w:rsidRPr="00392E2E">
              <w:rPr>
                <w:b/>
                <w:szCs w:val="22"/>
              </w:rPr>
              <w:t xml:space="preserve">Governance </w:t>
            </w:r>
            <w:r w:rsidR="00EB2D32" w:rsidRPr="00BE2A3F">
              <w:rPr>
                <w:b/>
                <w:szCs w:val="22"/>
              </w:rPr>
              <w:t>Committee</w:t>
            </w:r>
          </w:p>
        </w:tc>
        <w:tc>
          <w:tcPr>
            <w:tcW w:w="2268" w:type="dxa"/>
            <w:gridSpan w:val="2"/>
            <w:tcBorders>
              <w:bottom w:val="nil"/>
            </w:tcBorders>
            <w:vAlign w:val="center"/>
          </w:tcPr>
          <w:p w:rsidR="002F5C5E" w:rsidRPr="009E2B84" w:rsidRDefault="00392E2E" w:rsidP="0047741D">
            <w:pPr>
              <w:jc w:val="center"/>
              <w:rPr>
                <w:b/>
              </w:rPr>
            </w:pPr>
            <w:r w:rsidRPr="00392E2E">
              <w:rPr>
                <w:b/>
                <w:szCs w:val="22"/>
              </w:rPr>
              <w:t>26 July 2018</w:t>
            </w:r>
          </w:p>
        </w:tc>
      </w:tr>
      <w:tr w:rsidR="002F5C5E" w:rsidRPr="009E2B84" w:rsidTr="0047741D">
        <w:trPr>
          <w:gridAfter w:val="1"/>
          <w:wAfter w:w="2835" w:type="dxa"/>
          <w:cantSplit/>
          <w:trHeight w:val="560"/>
        </w:trPr>
        <w:tc>
          <w:tcPr>
            <w:tcW w:w="7054" w:type="dxa"/>
            <w:gridSpan w:val="3"/>
            <w:tcBorders>
              <w:left w:val="nil"/>
              <w:right w:val="nil"/>
            </w:tcBorders>
          </w:tcPr>
          <w:p w:rsidR="002F5C5E" w:rsidRPr="009E2B84" w:rsidRDefault="002F5C5E" w:rsidP="003902A2">
            <w:pPr>
              <w:jc w:val="right"/>
              <w:rPr>
                <w:sz w:val="8"/>
              </w:rPr>
            </w:pPr>
          </w:p>
        </w:tc>
      </w:tr>
      <w:tr w:rsidR="0047741D" w:rsidRPr="009E2B84" w:rsidTr="0047741D">
        <w:trPr>
          <w:cantSplit/>
        </w:trPr>
        <w:tc>
          <w:tcPr>
            <w:tcW w:w="6912" w:type="dxa"/>
            <w:gridSpan w:val="2"/>
            <w:shd w:val="clear" w:color="auto" w:fill="BFBFBF"/>
            <w:vAlign w:val="center"/>
          </w:tcPr>
          <w:p w:rsidR="0047741D" w:rsidRPr="009E2B84" w:rsidRDefault="0047741D" w:rsidP="00E2196F">
            <w:pPr>
              <w:jc w:val="center"/>
              <w:rPr>
                <w:b/>
              </w:rPr>
            </w:pPr>
            <w:r w:rsidRPr="009E2B84">
              <w:rPr>
                <w:b/>
              </w:rPr>
              <w:t>TITLE</w:t>
            </w:r>
          </w:p>
        </w:tc>
        <w:tc>
          <w:tcPr>
            <w:tcW w:w="2977" w:type="dxa"/>
            <w:gridSpan w:val="2"/>
            <w:shd w:val="clear" w:color="auto" w:fill="BFBFBF"/>
            <w:vAlign w:val="center"/>
          </w:tcPr>
          <w:p w:rsidR="0047741D" w:rsidRPr="009E2B84" w:rsidRDefault="0047741D" w:rsidP="00E2196F">
            <w:pPr>
              <w:jc w:val="center"/>
              <w:rPr>
                <w:b/>
              </w:rPr>
            </w:pPr>
            <w:r>
              <w:rPr>
                <w:b/>
              </w:rPr>
              <w:t>REPORT OF</w:t>
            </w:r>
          </w:p>
        </w:tc>
      </w:tr>
      <w:tr w:rsidR="0047741D" w:rsidRPr="009E2B84" w:rsidTr="0047741D">
        <w:trPr>
          <w:cantSplit/>
          <w:trHeight w:val="667"/>
        </w:trPr>
        <w:tc>
          <w:tcPr>
            <w:tcW w:w="6912" w:type="dxa"/>
            <w:gridSpan w:val="2"/>
            <w:vAlign w:val="center"/>
          </w:tcPr>
          <w:p w:rsidR="0047741D" w:rsidRPr="009E2B84" w:rsidRDefault="0047741D" w:rsidP="00E2196F">
            <w:pPr>
              <w:rPr>
                <w:b/>
              </w:rPr>
            </w:pPr>
          </w:p>
          <w:p w:rsidR="0047741D" w:rsidRPr="00392E2E" w:rsidRDefault="00392E2E" w:rsidP="00392E2E">
            <w:pPr>
              <w:jc w:val="center"/>
              <w:rPr>
                <w:b/>
                <w:szCs w:val="22"/>
              </w:rPr>
            </w:pPr>
            <w:r w:rsidRPr="00392E2E">
              <w:rPr>
                <w:b/>
                <w:szCs w:val="22"/>
              </w:rPr>
              <w:t>T</w:t>
            </w:r>
            <w:r>
              <w:rPr>
                <w:b/>
                <w:szCs w:val="22"/>
              </w:rPr>
              <w:t>reasury M</w:t>
            </w:r>
            <w:r w:rsidRPr="00392E2E">
              <w:rPr>
                <w:b/>
                <w:szCs w:val="22"/>
              </w:rPr>
              <w:t>anagement Annual Report 2017/18</w:t>
            </w:r>
          </w:p>
          <w:p w:rsidR="0047741D" w:rsidRPr="009E2B84" w:rsidRDefault="0047741D" w:rsidP="00E2196F">
            <w:pPr>
              <w:jc w:val="center"/>
              <w:rPr>
                <w:b/>
              </w:rPr>
            </w:pPr>
          </w:p>
        </w:tc>
        <w:tc>
          <w:tcPr>
            <w:tcW w:w="2977" w:type="dxa"/>
            <w:gridSpan w:val="2"/>
            <w:vAlign w:val="center"/>
          </w:tcPr>
          <w:p w:rsidR="0047741D" w:rsidRPr="009E2B84" w:rsidRDefault="00392E2E" w:rsidP="00C903AC">
            <w:pPr>
              <w:rPr>
                <w:i/>
              </w:rPr>
            </w:pPr>
            <w:r>
              <w:rPr>
                <w:b/>
                <w:szCs w:val="22"/>
              </w:rPr>
              <w:t>Deputy Chief Executive (Resources &amp; Transformation)</w:t>
            </w:r>
          </w:p>
        </w:tc>
      </w:tr>
    </w:tbl>
    <w:p w:rsidR="002F5C5E" w:rsidRPr="009E2B84" w:rsidRDefault="002F5C5E" w:rsidP="002F5C5E"/>
    <w:p w:rsidR="002F5C5E" w:rsidRDefault="002F5C5E"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47741D" w:rsidRPr="009C1143" w:rsidTr="00E2196F">
        <w:tc>
          <w:tcPr>
            <w:tcW w:w="6652" w:type="dxa"/>
            <w:shd w:val="clear" w:color="auto" w:fill="auto"/>
          </w:tcPr>
          <w:p w:rsidR="0047741D" w:rsidRDefault="0047741D" w:rsidP="00E2196F">
            <w:pPr>
              <w:rPr>
                <w:szCs w:val="22"/>
              </w:rPr>
            </w:pPr>
          </w:p>
          <w:p w:rsidR="0047741D" w:rsidRPr="009C1143" w:rsidRDefault="0047741D" w:rsidP="00E2196F">
            <w:pPr>
              <w:rPr>
                <w:szCs w:val="22"/>
              </w:rPr>
            </w:pPr>
            <w:r>
              <w:rPr>
                <w:szCs w:val="22"/>
              </w:rPr>
              <w:t>Is this report confidential?</w:t>
            </w:r>
          </w:p>
        </w:tc>
        <w:tc>
          <w:tcPr>
            <w:tcW w:w="3266" w:type="dxa"/>
            <w:shd w:val="clear" w:color="auto" w:fill="auto"/>
          </w:tcPr>
          <w:p w:rsidR="0047741D" w:rsidRDefault="0047741D" w:rsidP="00E2196F">
            <w:pPr>
              <w:rPr>
                <w:szCs w:val="22"/>
              </w:rPr>
            </w:pPr>
          </w:p>
          <w:p w:rsidR="00392E2E" w:rsidRPr="00392E2E" w:rsidRDefault="00392E2E" w:rsidP="00E2196F">
            <w:pPr>
              <w:rPr>
                <w:b/>
                <w:szCs w:val="22"/>
              </w:rPr>
            </w:pPr>
            <w:r w:rsidRPr="00392E2E">
              <w:rPr>
                <w:b/>
                <w:szCs w:val="22"/>
              </w:rPr>
              <w:t>No</w:t>
            </w:r>
          </w:p>
          <w:p w:rsidR="00392E2E" w:rsidRPr="009C1143" w:rsidRDefault="00392E2E" w:rsidP="00E2196F">
            <w:pPr>
              <w:rPr>
                <w:szCs w:val="22"/>
              </w:rPr>
            </w:pPr>
          </w:p>
        </w:tc>
      </w:tr>
    </w:tbl>
    <w:p w:rsidR="0047741D" w:rsidRDefault="0047741D" w:rsidP="002F5C5E">
      <w:pPr>
        <w:rPr>
          <w:sz w:val="16"/>
          <w:szCs w:val="16"/>
        </w:rPr>
      </w:pPr>
    </w:p>
    <w:p w:rsidR="00EB2D32" w:rsidRPr="009C1143" w:rsidRDefault="00EB2D32" w:rsidP="002F5C5E">
      <w:pPr>
        <w:rPr>
          <w:sz w:val="16"/>
          <w:szCs w:val="16"/>
        </w:rPr>
      </w:pPr>
    </w:p>
    <w:p w:rsidR="002F5C5E" w:rsidRDefault="002F5C5E" w:rsidP="002F5C5E">
      <w:pPr>
        <w:keepNext/>
        <w:numPr>
          <w:ilvl w:val="0"/>
          <w:numId w:val="8"/>
        </w:numPr>
        <w:outlineLvl w:val="0"/>
        <w:rPr>
          <w:b/>
          <w:szCs w:val="22"/>
        </w:rPr>
      </w:pPr>
      <w:r w:rsidRPr="009C1143">
        <w:rPr>
          <w:b/>
          <w:szCs w:val="22"/>
        </w:rPr>
        <w:t xml:space="preserve">PURPOSE OF THE REPORT  </w:t>
      </w:r>
    </w:p>
    <w:p w:rsidR="000B5251" w:rsidRPr="009C1143" w:rsidRDefault="000B5251" w:rsidP="000B5251">
      <w:pPr>
        <w:keepNext/>
        <w:ind w:left="360"/>
        <w:outlineLvl w:val="0"/>
        <w:rPr>
          <w:b/>
          <w:szCs w:val="22"/>
        </w:rPr>
      </w:pPr>
    </w:p>
    <w:p w:rsidR="002F5C5E" w:rsidRPr="004B3293" w:rsidRDefault="004B3293" w:rsidP="004B3293">
      <w:pPr>
        <w:keepNext/>
        <w:outlineLvl w:val="0"/>
      </w:pPr>
      <w:r>
        <w:t xml:space="preserve">1.1 </w:t>
      </w:r>
      <w:r>
        <w:tab/>
      </w:r>
      <w:r w:rsidR="00E963AC" w:rsidRPr="004B3293">
        <w:t>To present the outturn for Treasury Management activity in financial year 2017/18.</w:t>
      </w:r>
    </w:p>
    <w:p w:rsidR="00E963AC" w:rsidRDefault="00E963AC" w:rsidP="004B3293">
      <w:pPr>
        <w:keepNext/>
        <w:ind w:left="360"/>
        <w:outlineLvl w:val="0"/>
        <w:rPr>
          <w:szCs w:val="22"/>
        </w:rPr>
      </w:pPr>
    </w:p>
    <w:p w:rsidR="00E963AC" w:rsidRPr="004B3293" w:rsidRDefault="004B3293" w:rsidP="004B3293">
      <w:pPr>
        <w:keepNext/>
        <w:ind w:left="720" w:hanging="720"/>
        <w:outlineLvl w:val="0"/>
      </w:pPr>
      <w:r>
        <w:t xml:space="preserve">1.2 </w:t>
      </w:r>
      <w:r>
        <w:tab/>
      </w:r>
      <w:r w:rsidR="00E963AC" w:rsidRPr="004B3293">
        <w:t>To present Treasury Management activity monitoring information for the quarter to 30 June 2018, together with a commentary on issues relating to the economy and updated interest rate forecasts.</w:t>
      </w:r>
    </w:p>
    <w:p w:rsidR="002F5C5E" w:rsidRPr="009C1143" w:rsidRDefault="002F5C5E" w:rsidP="002F5C5E">
      <w:pPr>
        <w:rPr>
          <w:sz w:val="16"/>
          <w:szCs w:val="16"/>
        </w:rPr>
      </w:pPr>
    </w:p>
    <w:p w:rsidR="002F5C5E" w:rsidRPr="009C1143" w:rsidRDefault="002F5C5E" w:rsidP="002F5C5E">
      <w:pPr>
        <w:rPr>
          <w:szCs w:val="22"/>
        </w:rPr>
      </w:pPr>
    </w:p>
    <w:p w:rsidR="002F5C5E" w:rsidRDefault="002F5C5E" w:rsidP="002F5C5E">
      <w:pPr>
        <w:keepNext/>
        <w:numPr>
          <w:ilvl w:val="0"/>
          <w:numId w:val="8"/>
        </w:numPr>
        <w:outlineLvl w:val="0"/>
        <w:rPr>
          <w:b/>
          <w:szCs w:val="22"/>
        </w:rPr>
      </w:pPr>
      <w:r w:rsidRPr="009C1143">
        <w:rPr>
          <w:b/>
          <w:szCs w:val="22"/>
        </w:rPr>
        <w:t>RECOMMENDATIONS</w:t>
      </w:r>
    </w:p>
    <w:p w:rsidR="000B5251" w:rsidRPr="009C1143" w:rsidRDefault="000B5251" w:rsidP="000B5251">
      <w:pPr>
        <w:keepNext/>
        <w:ind w:left="360"/>
        <w:outlineLvl w:val="0"/>
        <w:rPr>
          <w:b/>
          <w:szCs w:val="22"/>
        </w:rPr>
      </w:pPr>
    </w:p>
    <w:p w:rsidR="002F5C5E" w:rsidRPr="00E963AC" w:rsidRDefault="004B3293" w:rsidP="004B3293">
      <w:pPr>
        <w:rPr>
          <w:szCs w:val="22"/>
        </w:rPr>
      </w:pPr>
      <w:r>
        <w:rPr>
          <w:szCs w:val="22"/>
        </w:rPr>
        <w:t>2.1</w:t>
      </w:r>
      <w:r>
        <w:rPr>
          <w:szCs w:val="22"/>
        </w:rPr>
        <w:tab/>
      </w:r>
      <w:r w:rsidR="00E963AC">
        <w:rPr>
          <w:szCs w:val="22"/>
        </w:rPr>
        <w:t>Members are asked to note the report.</w:t>
      </w:r>
    </w:p>
    <w:p w:rsidR="002F5C5E" w:rsidRPr="009C1143" w:rsidRDefault="002F5C5E" w:rsidP="002F5C5E">
      <w:pPr>
        <w:rPr>
          <w:i/>
          <w:color w:val="2E74B5"/>
          <w:szCs w:val="22"/>
        </w:rPr>
      </w:pPr>
    </w:p>
    <w:p w:rsidR="002F5C5E" w:rsidRPr="009C1143" w:rsidRDefault="002F5C5E" w:rsidP="002F5C5E">
      <w:pPr>
        <w:rPr>
          <w:sz w:val="16"/>
          <w:szCs w:val="16"/>
        </w:rPr>
      </w:pPr>
    </w:p>
    <w:p w:rsidR="002F5C5E" w:rsidRDefault="002F5C5E" w:rsidP="000B5251">
      <w:pPr>
        <w:keepNext/>
        <w:numPr>
          <w:ilvl w:val="0"/>
          <w:numId w:val="8"/>
        </w:numPr>
        <w:outlineLvl w:val="0"/>
        <w:rPr>
          <w:b/>
          <w:szCs w:val="22"/>
        </w:rPr>
      </w:pPr>
      <w:r w:rsidRPr="009C1143">
        <w:rPr>
          <w:b/>
          <w:szCs w:val="22"/>
        </w:rPr>
        <w:t xml:space="preserve">EXECUTIVE SUMMARY </w:t>
      </w:r>
    </w:p>
    <w:p w:rsidR="000B5251" w:rsidRPr="009C1143" w:rsidRDefault="000B5251" w:rsidP="000B5251">
      <w:pPr>
        <w:keepNext/>
        <w:ind w:left="360"/>
        <w:outlineLvl w:val="0"/>
        <w:rPr>
          <w:b/>
          <w:szCs w:val="22"/>
        </w:rPr>
      </w:pPr>
    </w:p>
    <w:p w:rsidR="002F5C5E" w:rsidRDefault="004B3293" w:rsidP="004B3293">
      <w:pPr>
        <w:ind w:left="720" w:hanging="720"/>
        <w:rPr>
          <w:szCs w:val="22"/>
        </w:rPr>
      </w:pPr>
      <w:r>
        <w:rPr>
          <w:szCs w:val="22"/>
        </w:rPr>
        <w:t>3.1</w:t>
      </w:r>
      <w:r>
        <w:rPr>
          <w:szCs w:val="22"/>
        </w:rPr>
        <w:tab/>
      </w:r>
      <w:r w:rsidR="00A609DF">
        <w:rPr>
          <w:szCs w:val="22"/>
        </w:rPr>
        <w:t xml:space="preserve">All investment activity during 2017/18 complied with the strategy approved by council. An average return of 0.49% was achieved, which exceeded the target rate of 0.24% (being the 7-day LIBID plus 15%). </w:t>
      </w:r>
    </w:p>
    <w:p w:rsidR="00A609DF" w:rsidRDefault="00A609DF" w:rsidP="00A609DF">
      <w:pPr>
        <w:ind w:left="360"/>
        <w:rPr>
          <w:szCs w:val="22"/>
        </w:rPr>
      </w:pPr>
    </w:p>
    <w:p w:rsidR="00A609DF" w:rsidRDefault="004B3293" w:rsidP="004B3293">
      <w:pPr>
        <w:ind w:left="720" w:hanging="720"/>
        <w:rPr>
          <w:szCs w:val="22"/>
        </w:rPr>
      </w:pPr>
      <w:r>
        <w:rPr>
          <w:szCs w:val="22"/>
        </w:rPr>
        <w:t>3.2</w:t>
      </w:r>
      <w:r>
        <w:rPr>
          <w:szCs w:val="22"/>
        </w:rPr>
        <w:tab/>
      </w:r>
      <w:r w:rsidR="00A609DF">
        <w:rPr>
          <w:szCs w:val="22"/>
        </w:rPr>
        <w:t>Investments peaked at £45.1m. At year-end, the total excluding accrued interest was £31.6m.</w:t>
      </w:r>
    </w:p>
    <w:p w:rsidR="00A609DF" w:rsidRDefault="00A609DF" w:rsidP="00A609DF">
      <w:pPr>
        <w:ind w:left="360"/>
        <w:rPr>
          <w:szCs w:val="22"/>
        </w:rPr>
      </w:pPr>
    </w:p>
    <w:p w:rsidR="00A609DF" w:rsidRDefault="004B3293" w:rsidP="004B3293">
      <w:pPr>
        <w:ind w:left="720" w:hanging="720"/>
        <w:rPr>
          <w:szCs w:val="22"/>
        </w:rPr>
      </w:pPr>
      <w:r>
        <w:rPr>
          <w:szCs w:val="22"/>
        </w:rPr>
        <w:t>3.3</w:t>
      </w:r>
      <w:r>
        <w:rPr>
          <w:szCs w:val="22"/>
        </w:rPr>
        <w:tab/>
      </w:r>
      <w:r w:rsidR="00A609DF">
        <w:rPr>
          <w:szCs w:val="22"/>
        </w:rPr>
        <w:t>The average rate earned in the first quarter of 2018/19 has increased to 0.63%, though the average sum invested per day is currently lower than the average for 2017/18.</w:t>
      </w:r>
    </w:p>
    <w:p w:rsidR="00A609DF" w:rsidRDefault="00A609DF" w:rsidP="00A609DF">
      <w:pPr>
        <w:ind w:left="360"/>
        <w:rPr>
          <w:szCs w:val="22"/>
        </w:rPr>
      </w:pPr>
    </w:p>
    <w:p w:rsidR="00A609DF" w:rsidRPr="00A609DF" w:rsidRDefault="004B3293" w:rsidP="004B3293">
      <w:pPr>
        <w:ind w:left="720" w:hanging="720"/>
        <w:rPr>
          <w:szCs w:val="22"/>
        </w:rPr>
      </w:pPr>
      <w:r>
        <w:rPr>
          <w:szCs w:val="22"/>
        </w:rPr>
        <w:t>3.4</w:t>
      </w:r>
      <w:r>
        <w:rPr>
          <w:szCs w:val="22"/>
        </w:rPr>
        <w:tab/>
      </w:r>
      <w:r w:rsidR="00A609DF">
        <w:rPr>
          <w:szCs w:val="22"/>
        </w:rPr>
        <w:t>Officers will aim to identify additional counterparties, in particular money market funds and UK banks, as permitted by the approved investment strategy for 2018/19.</w:t>
      </w:r>
    </w:p>
    <w:p w:rsidR="002F5C5E" w:rsidRPr="009C1143" w:rsidRDefault="002F5C5E" w:rsidP="002F5C5E">
      <w:pPr>
        <w:rPr>
          <w:szCs w:val="22"/>
        </w:rPr>
      </w:pPr>
    </w:p>
    <w:p w:rsidR="002F5C5E" w:rsidRDefault="002F5C5E" w:rsidP="00525728">
      <w:pPr>
        <w:keepNext/>
        <w:numPr>
          <w:ilvl w:val="0"/>
          <w:numId w:val="8"/>
        </w:numPr>
        <w:outlineLvl w:val="0"/>
        <w:rPr>
          <w:b/>
          <w:szCs w:val="22"/>
        </w:rPr>
      </w:pPr>
      <w:r w:rsidRPr="009C1143">
        <w:rPr>
          <w:b/>
          <w:szCs w:val="22"/>
        </w:rPr>
        <w:t>CORPORATE PRIORITIES</w:t>
      </w:r>
    </w:p>
    <w:p w:rsidR="00772B9C" w:rsidRDefault="00772B9C" w:rsidP="00772B9C">
      <w:pPr>
        <w:keepNext/>
        <w:outlineLvl w:val="0"/>
        <w:rPr>
          <w:b/>
          <w:szCs w:val="22"/>
        </w:rPr>
      </w:pPr>
    </w:p>
    <w:p w:rsidR="00772B9C" w:rsidRPr="00772B9C" w:rsidRDefault="004B3293" w:rsidP="004B3293">
      <w:pPr>
        <w:keepNext/>
        <w:outlineLvl w:val="0"/>
        <w:rPr>
          <w:i/>
          <w:color w:val="2E74B5"/>
          <w:szCs w:val="22"/>
        </w:rPr>
      </w:pPr>
      <w:r>
        <w:rPr>
          <w:szCs w:val="22"/>
        </w:rPr>
        <w:t>4.1</w:t>
      </w:r>
      <w:r>
        <w:rPr>
          <w:szCs w:val="22"/>
        </w:rPr>
        <w:tab/>
      </w:r>
      <w:r w:rsidR="00772B9C" w:rsidRPr="009C1143">
        <w:rPr>
          <w:szCs w:val="22"/>
        </w:rPr>
        <w:t>The report relates to the following corporate priorities</w:t>
      </w:r>
      <w:r w:rsidR="00772B9C">
        <w:rPr>
          <w:szCs w:val="22"/>
        </w:rPr>
        <w:t>:</w:t>
      </w:r>
    </w:p>
    <w:p w:rsidR="00772B9C" w:rsidRDefault="00772B9C" w:rsidP="00772B9C">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8770BE" w:rsidTr="000E4458">
        <w:tc>
          <w:tcPr>
            <w:tcW w:w="4423" w:type="dxa"/>
            <w:shd w:val="clear" w:color="auto" w:fill="auto"/>
          </w:tcPr>
          <w:p w:rsidR="00772B9C" w:rsidRPr="000828CC" w:rsidRDefault="00772B9C" w:rsidP="000E4458">
            <w:pPr>
              <w:rPr>
                <w:szCs w:val="22"/>
              </w:rPr>
            </w:pPr>
            <w:r w:rsidRPr="000828CC">
              <w:rPr>
                <w:szCs w:val="22"/>
              </w:rPr>
              <w:t>Excellence and Financial Sustainability</w:t>
            </w:r>
          </w:p>
          <w:p w:rsidR="00772B9C" w:rsidRPr="000828CC" w:rsidRDefault="00772B9C" w:rsidP="000E4458">
            <w:pPr>
              <w:rPr>
                <w:szCs w:val="22"/>
              </w:rPr>
            </w:pPr>
          </w:p>
        </w:tc>
        <w:tc>
          <w:tcPr>
            <w:tcW w:w="850" w:type="dxa"/>
            <w:shd w:val="clear" w:color="auto" w:fill="auto"/>
          </w:tcPr>
          <w:p w:rsidR="00772B9C" w:rsidRPr="008770BE" w:rsidRDefault="004B33F6" w:rsidP="004B33F6">
            <w:pPr>
              <w:jc w:val="center"/>
              <w:rPr>
                <w:szCs w:val="22"/>
                <w:highlight w:val="yellow"/>
              </w:rPr>
            </w:pPr>
            <w:r w:rsidRPr="00691A67">
              <w:rPr>
                <w:sz w:val="44"/>
                <w:szCs w:val="44"/>
              </w:rPr>
              <w:sym w:font="Wingdings" w:char="F0FC"/>
            </w:r>
          </w:p>
        </w:tc>
      </w:tr>
      <w:tr w:rsidR="00772B9C" w:rsidRPr="008770BE" w:rsidTr="000E4458">
        <w:tc>
          <w:tcPr>
            <w:tcW w:w="4423" w:type="dxa"/>
            <w:shd w:val="clear" w:color="auto" w:fill="auto"/>
          </w:tcPr>
          <w:p w:rsidR="00772B9C" w:rsidRPr="000828CC" w:rsidRDefault="00772B9C" w:rsidP="000E4458">
            <w:pPr>
              <w:rPr>
                <w:szCs w:val="22"/>
              </w:rPr>
            </w:pPr>
            <w:r w:rsidRPr="000828CC">
              <w:rPr>
                <w:szCs w:val="22"/>
              </w:rPr>
              <w:t>Health and Wellbeing</w:t>
            </w:r>
          </w:p>
          <w:p w:rsidR="00772B9C" w:rsidRPr="000828CC" w:rsidRDefault="00772B9C" w:rsidP="000E4458">
            <w:pPr>
              <w:rPr>
                <w:szCs w:val="22"/>
              </w:rPr>
            </w:pPr>
          </w:p>
        </w:tc>
        <w:tc>
          <w:tcPr>
            <w:tcW w:w="850" w:type="dxa"/>
            <w:shd w:val="clear" w:color="auto" w:fill="auto"/>
          </w:tcPr>
          <w:p w:rsidR="00772B9C" w:rsidRPr="008770BE" w:rsidRDefault="00772B9C" w:rsidP="000E4458">
            <w:pPr>
              <w:rPr>
                <w:szCs w:val="22"/>
                <w:highlight w:val="yellow"/>
              </w:rPr>
            </w:pPr>
          </w:p>
        </w:tc>
      </w:tr>
      <w:tr w:rsidR="00772B9C" w:rsidRPr="009C1143" w:rsidTr="000E4458">
        <w:tc>
          <w:tcPr>
            <w:tcW w:w="4423" w:type="dxa"/>
            <w:shd w:val="clear" w:color="auto" w:fill="auto"/>
          </w:tcPr>
          <w:p w:rsidR="00772B9C" w:rsidRPr="000828CC" w:rsidRDefault="00772B9C" w:rsidP="000E4458">
            <w:pPr>
              <w:rPr>
                <w:szCs w:val="22"/>
              </w:rPr>
            </w:pPr>
            <w:r w:rsidRPr="000828CC">
              <w:rPr>
                <w:szCs w:val="22"/>
              </w:rPr>
              <w:t>Place</w:t>
            </w:r>
          </w:p>
          <w:p w:rsidR="00772B9C" w:rsidRPr="000828CC" w:rsidRDefault="00772B9C" w:rsidP="000E4458">
            <w:pPr>
              <w:rPr>
                <w:szCs w:val="22"/>
              </w:rPr>
            </w:pPr>
          </w:p>
        </w:tc>
        <w:tc>
          <w:tcPr>
            <w:tcW w:w="850" w:type="dxa"/>
            <w:shd w:val="clear" w:color="auto" w:fill="auto"/>
          </w:tcPr>
          <w:p w:rsidR="00772B9C" w:rsidRPr="009C1143" w:rsidRDefault="00772B9C" w:rsidP="000E4458">
            <w:pPr>
              <w:rPr>
                <w:szCs w:val="22"/>
              </w:rPr>
            </w:pPr>
          </w:p>
        </w:tc>
      </w:tr>
    </w:tbl>
    <w:p w:rsidR="00772B9C" w:rsidRDefault="00772B9C" w:rsidP="00772B9C"/>
    <w:p w:rsidR="00772B9C" w:rsidRDefault="00772B9C" w:rsidP="00772B9C">
      <w:pPr>
        <w:ind w:firstLine="720"/>
      </w:pPr>
      <w:r>
        <w:t>Projects relating to People in the Corporate Plan:</w:t>
      </w:r>
    </w:p>
    <w:p w:rsidR="00772B9C" w:rsidRDefault="00772B9C" w:rsidP="00772B9C">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9C1143" w:rsidTr="000E4458">
        <w:tc>
          <w:tcPr>
            <w:tcW w:w="4423" w:type="dxa"/>
            <w:shd w:val="clear" w:color="auto" w:fill="auto"/>
          </w:tcPr>
          <w:p w:rsidR="00772B9C" w:rsidRDefault="00772B9C" w:rsidP="000E4458">
            <w:pPr>
              <w:rPr>
                <w:szCs w:val="22"/>
              </w:rPr>
            </w:pPr>
            <w:r>
              <w:rPr>
                <w:szCs w:val="22"/>
              </w:rPr>
              <w:t xml:space="preserve">People </w:t>
            </w:r>
          </w:p>
          <w:p w:rsidR="00772B9C" w:rsidRPr="000828CC" w:rsidRDefault="00772B9C" w:rsidP="000E4458">
            <w:pPr>
              <w:rPr>
                <w:szCs w:val="22"/>
              </w:rPr>
            </w:pPr>
          </w:p>
        </w:tc>
        <w:tc>
          <w:tcPr>
            <w:tcW w:w="850" w:type="dxa"/>
            <w:shd w:val="clear" w:color="auto" w:fill="auto"/>
          </w:tcPr>
          <w:p w:rsidR="00772B9C" w:rsidRPr="009C1143" w:rsidRDefault="00772B9C" w:rsidP="000E4458">
            <w:pPr>
              <w:rPr>
                <w:szCs w:val="22"/>
              </w:rPr>
            </w:pPr>
          </w:p>
        </w:tc>
      </w:tr>
    </w:tbl>
    <w:p w:rsidR="002F5C5E" w:rsidRDefault="002F5C5E" w:rsidP="002F5C5E">
      <w:pPr>
        <w:rPr>
          <w:szCs w:val="22"/>
        </w:rPr>
      </w:pPr>
    </w:p>
    <w:p w:rsidR="00772B9C" w:rsidRDefault="00772B9C" w:rsidP="002F5C5E">
      <w:pPr>
        <w:rPr>
          <w:szCs w:val="22"/>
        </w:rPr>
      </w:pPr>
    </w:p>
    <w:p w:rsidR="00772B9C" w:rsidRPr="009C1143" w:rsidRDefault="00772B9C" w:rsidP="002F5C5E">
      <w:pPr>
        <w:rPr>
          <w:szCs w:val="22"/>
        </w:rPr>
      </w:pPr>
    </w:p>
    <w:p w:rsidR="002F5C5E" w:rsidRPr="009C1143" w:rsidRDefault="002F5C5E" w:rsidP="002F5C5E">
      <w:pPr>
        <w:rPr>
          <w:b/>
          <w:szCs w:val="22"/>
        </w:rPr>
      </w:pPr>
      <w:r w:rsidRPr="009C1143">
        <w:rPr>
          <w:b/>
          <w:szCs w:val="22"/>
        </w:rPr>
        <w:t>5.   BACKGROUND TO THE REPORT</w:t>
      </w:r>
    </w:p>
    <w:p w:rsidR="00A609DF" w:rsidRDefault="00A609DF" w:rsidP="002F5C5E">
      <w:pPr>
        <w:ind w:left="360"/>
        <w:rPr>
          <w:szCs w:val="22"/>
        </w:rPr>
      </w:pPr>
    </w:p>
    <w:p w:rsidR="002F5C5E" w:rsidRDefault="004B3293" w:rsidP="004B3293">
      <w:pPr>
        <w:ind w:left="720" w:hanging="720"/>
        <w:rPr>
          <w:szCs w:val="22"/>
        </w:rPr>
      </w:pPr>
      <w:r>
        <w:rPr>
          <w:szCs w:val="22"/>
        </w:rPr>
        <w:t>5.1</w:t>
      </w:r>
      <w:r>
        <w:rPr>
          <w:szCs w:val="22"/>
        </w:rPr>
        <w:tab/>
      </w:r>
      <w:r w:rsidR="00E963AC">
        <w:rPr>
          <w:szCs w:val="22"/>
        </w:rPr>
        <w:t>The Treasury Strategy for 2017/18 to 2019/20 was presented to Cabinet on 20 February 2017. The strategy included Prudential Indicators, the Treasury Management Strategy, the Annual Investment Strategy, and the Annual Minimum Revenue Provision (MRP) Policy Statement, all of which were approved by Council on 1 March 2017.</w:t>
      </w:r>
    </w:p>
    <w:p w:rsidR="00E963AC" w:rsidRDefault="00E963AC" w:rsidP="002F5C5E">
      <w:pPr>
        <w:ind w:left="360"/>
        <w:rPr>
          <w:szCs w:val="22"/>
        </w:rPr>
      </w:pPr>
    </w:p>
    <w:p w:rsidR="00E963AC" w:rsidRDefault="004B3293" w:rsidP="004B3293">
      <w:pPr>
        <w:ind w:left="720" w:hanging="720"/>
        <w:rPr>
          <w:szCs w:val="22"/>
        </w:rPr>
      </w:pPr>
      <w:r>
        <w:rPr>
          <w:szCs w:val="22"/>
        </w:rPr>
        <w:t>5.2</w:t>
      </w:r>
      <w:r>
        <w:rPr>
          <w:szCs w:val="22"/>
        </w:rPr>
        <w:tab/>
      </w:r>
      <w:r w:rsidR="00E963AC">
        <w:rPr>
          <w:szCs w:val="22"/>
        </w:rPr>
        <w:t>Treasury Management activity monitoring reports were presented to Governance Committee meetings of 13 September 2017 and 31 January 2018.</w:t>
      </w:r>
    </w:p>
    <w:p w:rsidR="00E963AC" w:rsidRDefault="00E963AC" w:rsidP="002F5C5E">
      <w:pPr>
        <w:ind w:left="360"/>
        <w:rPr>
          <w:szCs w:val="22"/>
        </w:rPr>
      </w:pPr>
    </w:p>
    <w:p w:rsidR="00E963AC" w:rsidRPr="00E963AC" w:rsidRDefault="004B3293" w:rsidP="004B3293">
      <w:pPr>
        <w:ind w:left="720" w:hanging="720"/>
        <w:rPr>
          <w:szCs w:val="22"/>
        </w:rPr>
      </w:pPr>
      <w:r>
        <w:rPr>
          <w:szCs w:val="22"/>
        </w:rPr>
        <w:t>5.3</w:t>
      </w:r>
      <w:r>
        <w:rPr>
          <w:szCs w:val="22"/>
        </w:rPr>
        <w:tab/>
      </w:r>
      <w:r w:rsidR="00B56722">
        <w:rPr>
          <w:szCs w:val="22"/>
        </w:rPr>
        <w:t>Revised Prudential and Treasury indicators for 2017/18 were included in the Treasury Strategy 2018/19 to 2022/23, which was approved by Council on 28 February 2018. Where relevant, comparisons with 2017/18 indicators in this outturn report are to those approved most recently.</w:t>
      </w:r>
    </w:p>
    <w:p w:rsidR="00525728" w:rsidRDefault="00525728" w:rsidP="000B5251">
      <w:pPr>
        <w:rPr>
          <w:i/>
          <w:color w:val="2E74B5"/>
          <w:szCs w:val="22"/>
        </w:rPr>
      </w:pPr>
    </w:p>
    <w:p w:rsidR="004B3293" w:rsidRPr="004B3293" w:rsidRDefault="004B3293" w:rsidP="000B5251">
      <w:pPr>
        <w:rPr>
          <w:color w:val="2E74B5"/>
          <w:szCs w:val="22"/>
        </w:rPr>
      </w:pPr>
    </w:p>
    <w:p w:rsidR="002F5C5E" w:rsidRDefault="001938D6" w:rsidP="002F5C5E">
      <w:pPr>
        <w:rPr>
          <w:b/>
          <w:szCs w:val="22"/>
        </w:rPr>
      </w:pPr>
      <w:r>
        <w:rPr>
          <w:b/>
          <w:szCs w:val="22"/>
        </w:rPr>
        <w:t xml:space="preserve">6.   </w:t>
      </w:r>
      <w:r w:rsidR="009A6B16">
        <w:rPr>
          <w:b/>
          <w:szCs w:val="22"/>
        </w:rPr>
        <w:t>TREASURY MANAGEMENT OUTTURN 2017/18</w:t>
      </w:r>
    </w:p>
    <w:p w:rsidR="001938D6" w:rsidRDefault="001938D6" w:rsidP="002F5C5E">
      <w:pPr>
        <w:rPr>
          <w:b/>
          <w:szCs w:val="22"/>
        </w:rPr>
      </w:pPr>
    </w:p>
    <w:p w:rsidR="001938D6" w:rsidRDefault="00FE2BB2" w:rsidP="004B3293">
      <w:pPr>
        <w:rPr>
          <w:szCs w:val="22"/>
        </w:rPr>
      </w:pPr>
      <w:r w:rsidRPr="00FE2BB2">
        <w:rPr>
          <w:szCs w:val="22"/>
          <w:u w:val="single"/>
        </w:rPr>
        <w:t xml:space="preserve">Capital </w:t>
      </w:r>
      <w:r>
        <w:rPr>
          <w:szCs w:val="22"/>
          <w:u w:val="single"/>
        </w:rPr>
        <w:t>Expenditure 2017</w:t>
      </w:r>
      <w:r w:rsidRPr="00FE2BB2">
        <w:rPr>
          <w:szCs w:val="22"/>
          <w:u w:val="single"/>
        </w:rPr>
        <w:t>/18</w:t>
      </w:r>
    </w:p>
    <w:p w:rsidR="00FE2BB2" w:rsidRDefault="00FE2BB2" w:rsidP="00FE2BB2">
      <w:pPr>
        <w:ind w:left="426" w:hanging="426"/>
        <w:rPr>
          <w:szCs w:val="22"/>
        </w:rPr>
      </w:pPr>
      <w:r>
        <w:rPr>
          <w:szCs w:val="22"/>
        </w:rPr>
        <w:tab/>
      </w:r>
    </w:p>
    <w:p w:rsidR="00FE2BB2" w:rsidRDefault="004B3293" w:rsidP="004B3293">
      <w:pPr>
        <w:ind w:left="720" w:hanging="720"/>
        <w:rPr>
          <w:szCs w:val="22"/>
        </w:rPr>
      </w:pPr>
      <w:r>
        <w:rPr>
          <w:szCs w:val="22"/>
        </w:rPr>
        <w:t>6.1</w:t>
      </w:r>
      <w:r>
        <w:rPr>
          <w:szCs w:val="22"/>
        </w:rPr>
        <w:tab/>
      </w:r>
      <w:r w:rsidR="00FE2BB2">
        <w:rPr>
          <w:szCs w:val="22"/>
        </w:rPr>
        <w:t>The following table compares actual capital expenditure in 2017/18 with the original and revised estimates for the year.</w:t>
      </w:r>
    </w:p>
    <w:p w:rsidR="00FE2BB2" w:rsidRDefault="00FE2BB2" w:rsidP="00FE2BB2">
      <w:pPr>
        <w:ind w:left="426" w:hanging="426"/>
        <w:rPr>
          <w:szCs w:val="22"/>
        </w:rPr>
      </w:pPr>
    </w:p>
    <w:p w:rsidR="00FE2BB2" w:rsidRDefault="00FE2BB2" w:rsidP="00FE2BB2">
      <w:pPr>
        <w:ind w:left="426" w:hanging="426"/>
        <w:jc w:val="center"/>
        <w:rPr>
          <w:szCs w:val="22"/>
        </w:rPr>
      </w:pPr>
      <w:r w:rsidRPr="00FE2BB2">
        <w:rPr>
          <w:noProof/>
        </w:rPr>
        <w:drawing>
          <wp:inline distT="0" distB="0" distL="0" distR="0">
            <wp:extent cx="4943475" cy="1676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3475" cy="1676400"/>
                    </a:xfrm>
                    <a:prstGeom prst="rect">
                      <a:avLst/>
                    </a:prstGeom>
                    <a:noFill/>
                    <a:ln>
                      <a:noFill/>
                    </a:ln>
                  </pic:spPr>
                </pic:pic>
              </a:graphicData>
            </a:graphic>
          </wp:inline>
        </w:drawing>
      </w:r>
    </w:p>
    <w:p w:rsidR="00FE2BB2" w:rsidRDefault="00FE2BB2" w:rsidP="00FE2BB2">
      <w:pPr>
        <w:ind w:left="426" w:hanging="426"/>
        <w:rPr>
          <w:szCs w:val="22"/>
        </w:rPr>
      </w:pPr>
      <w:r>
        <w:rPr>
          <w:szCs w:val="22"/>
        </w:rPr>
        <w:tab/>
      </w:r>
    </w:p>
    <w:p w:rsidR="00FE2BB2" w:rsidRDefault="00FE2BB2" w:rsidP="00FE2BB2">
      <w:pPr>
        <w:ind w:left="426" w:hanging="426"/>
        <w:rPr>
          <w:szCs w:val="22"/>
        </w:rPr>
      </w:pPr>
      <w:r>
        <w:rPr>
          <w:szCs w:val="22"/>
        </w:rPr>
        <w:tab/>
      </w:r>
      <w:r w:rsidR="004B3293">
        <w:rPr>
          <w:szCs w:val="22"/>
        </w:rPr>
        <w:tab/>
      </w:r>
      <w:r>
        <w:rPr>
          <w:szCs w:val="22"/>
        </w:rPr>
        <w:t>The finance lease liability is in respect of expenditure incurred through the leisure contract.</w:t>
      </w:r>
    </w:p>
    <w:p w:rsidR="00FE2BB2" w:rsidRDefault="00FE2BB2" w:rsidP="00FE2BB2">
      <w:pPr>
        <w:ind w:left="426" w:hanging="426"/>
        <w:rPr>
          <w:szCs w:val="22"/>
        </w:rPr>
      </w:pPr>
    </w:p>
    <w:p w:rsidR="00FE2BB2" w:rsidRDefault="00FE2BB2" w:rsidP="00FE2BB2">
      <w:pPr>
        <w:ind w:left="426" w:hanging="426"/>
        <w:rPr>
          <w:szCs w:val="22"/>
        </w:rPr>
      </w:pPr>
      <w:r>
        <w:rPr>
          <w:szCs w:val="22"/>
          <w:u w:val="single"/>
        </w:rPr>
        <w:t>Capital Financing 2017/18</w:t>
      </w:r>
    </w:p>
    <w:p w:rsidR="00FE2BB2" w:rsidRDefault="00FE2BB2" w:rsidP="00FE2BB2">
      <w:pPr>
        <w:ind w:left="426" w:hanging="426"/>
        <w:rPr>
          <w:szCs w:val="22"/>
        </w:rPr>
      </w:pPr>
    </w:p>
    <w:p w:rsidR="00FE2BB2" w:rsidRDefault="004B3293" w:rsidP="004B3293">
      <w:pPr>
        <w:ind w:left="720" w:hanging="720"/>
        <w:rPr>
          <w:szCs w:val="22"/>
        </w:rPr>
      </w:pPr>
      <w:r>
        <w:rPr>
          <w:szCs w:val="22"/>
        </w:rPr>
        <w:t>6.2</w:t>
      </w:r>
      <w:r>
        <w:rPr>
          <w:szCs w:val="22"/>
        </w:rPr>
        <w:tab/>
      </w:r>
      <w:r w:rsidR="00FE2BB2">
        <w:rPr>
          <w:szCs w:val="22"/>
        </w:rPr>
        <w:t>Table 2 shows the estimated and actual financing of the capital expenditure in Table 1. Net financing represents the expenditure which is financed by an increase in the Capital Financing Requirement. This consists of the increase in the finance lease liability (£0.257m) and prudential borrowing (£0.056m).</w:t>
      </w:r>
    </w:p>
    <w:p w:rsidR="00FE2BB2" w:rsidRDefault="00FE2BB2" w:rsidP="00FE2BB2">
      <w:pPr>
        <w:ind w:left="426" w:hanging="426"/>
        <w:rPr>
          <w:szCs w:val="22"/>
        </w:rPr>
      </w:pPr>
    </w:p>
    <w:p w:rsidR="00FE2BB2" w:rsidRDefault="00FE2BB2" w:rsidP="00FE2BB2">
      <w:pPr>
        <w:ind w:left="426" w:hanging="426"/>
        <w:jc w:val="center"/>
        <w:rPr>
          <w:szCs w:val="22"/>
        </w:rPr>
      </w:pPr>
      <w:r w:rsidRPr="00FE2BB2">
        <w:rPr>
          <w:noProof/>
        </w:rPr>
        <w:lastRenderedPageBreak/>
        <w:drawing>
          <wp:inline distT="0" distB="0" distL="0" distR="0">
            <wp:extent cx="4943475" cy="2038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3475" cy="2038350"/>
                    </a:xfrm>
                    <a:prstGeom prst="rect">
                      <a:avLst/>
                    </a:prstGeom>
                    <a:noFill/>
                    <a:ln>
                      <a:noFill/>
                    </a:ln>
                  </pic:spPr>
                </pic:pic>
              </a:graphicData>
            </a:graphic>
          </wp:inline>
        </w:drawing>
      </w:r>
    </w:p>
    <w:p w:rsidR="00FC096A" w:rsidRDefault="00FC096A" w:rsidP="00FC096A">
      <w:pPr>
        <w:ind w:left="426" w:hanging="426"/>
        <w:rPr>
          <w:szCs w:val="22"/>
        </w:rPr>
      </w:pPr>
    </w:p>
    <w:p w:rsidR="00FC096A" w:rsidRDefault="00FC096A" w:rsidP="00FC096A">
      <w:pPr>
        <w:ind w:left="426" w:hanging="426"/>
        <w:rPr>
          <w:szCs w:val="22"/>
        </w:rPr>
      </w:pPr>
      <w:r>
        <w:rPr>
          <w:szCs w:val="22"/>
          <w:u w:val="single"/>
        </w:rPr>
        <w:t>The Council’s borrowing need (the Capital Financing Requirement - CFR)</w:t>
      </w:r>
    </w:p>
    <w:p w:rsidR="00FC096A" w:rsidRDefault="00FC096A" w:rsidP="00FC096A">
      <w:pPr>
        <w:ind w:left="426" w:hanging="426"/>
        <w:rPr>
          <w:szCs w:val="22"/>
        </w:rPr>
      </w:pPr>
    </w:p>
    <w:p w:rsidR="00FC096A" w:rsidRDefault="00D24583" w:rsidP="00D24583">
      <w:pPr>
        <w:ind w:left="720" w:hanging="720"/>
        <w:rPr>
          <w:szCs w:val="22"/>
        </w:rPr>
      </w:pPr>
      <w:r>
        <w:rPr>
          <w:szCs w:val="22"/>
        </w:rPr>
        <w:t>6.3</w:t>
      </w:r>
      <w:r>
        <w:rPr>
          <w:szCs w:val="22"/>
        </w:rPr>
        <w:tab/>
      </w:r>
      <w:r w:rsidR="00FC096A">
        <w:rPr>
          <w:szCs w:val="22"/>
        </w:rPr>
        <w:t>The CFR is simply the total historic outstanding capital expenditure which has not yet been paid for from either revenue or capital resources. It is essentially a measure of the Council’s indebtedness, and therefore its underlying borrowing need. Any capital expenditure in Table 1 above which has not been paid for immediately will increase the CFR.</w:t>
      </w:r>
    </w:p>
    <w:p w:rsidR="00D24583" w:rsidRDefault="00D24583" w:rsidP="00FC096A">
      <w:pPr>
        <w:ind w:left="426"/>
        <w:rPr>
          <w:szCs w:val="22"/>
        </w:rPr>
      </w:pPr>
    </w:p>
    <w:p w:rsidR="00FC096A" w:rsidRDefault="00D24583" w:rsidP="00D24583">
      <w:pPr>
        <w:ind w:left="709" w:hanging="709"/>
        <w:rPr>
          <w:szCs w:val="22"/>
        </w:rPr>
      </w:pPr>
      <w:r>
        <w:rPr>
          <w:szCs w:val="22"/>
        </w:rPr>
        <w:t>6.4</w:t>
      </w:r>
      <w:r>
        <w:rPr>
          <w:szCs w:val="22"/>
        </w:rPr>
        <w:tab/>
      </w:r>
      <w:r w:rsidR="00FC096A">
        <w:rPr>
          <w:szCs w:val="22"/>
        </w:rPr>
        <w:t>The CFR does not increase indefinitely, as the Minimum Revenue Provision (MRP), which is a statutory annual charge, broadly reduces the indebtedness in line with each asset’s life, and so charges the economic consumption of capital assets as they are used in the provision of services.</w:t>
      </w:r>
    </w:p>
    <w:p w:rsidR="00FC096A" w:rsidRDefault="00FC096A" w:rsidP="00FC096A">
      <w:pPr>
        <w:ind w:left="426"/>
        <w:rPr>
          <w:szCs w:val="22"/>
        </w:rPr>
      </w:pPr>
    </w:p>
    <w:p w:rsidR="00FC096A" w:rsidRDefault="00D24583" w:rsidP="00D24583">
      <w:pPr>
        <w:ind w:left="709" w:hanging="709"/>
        <w:rPr>
          <w:szCs w:val="22"/>
        </w:rPr>
      </w:pPr>
      <w:r>
        <w:rPr>
          <w:szCs w:val="22"/>
        </w:rPr>
        <w:t>6.5</w:t>
      </w:r>
      <w:r>
        <w:rPr>
          <w:szCs w:val="22"/>
        </w:rPr>
        <w:tab/>
      </w:r>
      <w:r w:rsidR="00FC096A">
        <w:rPr>
          <w:szCs w:val="22"/>
        </w:rPr>
        <w:t>The CFR includes any other long-term liabilities (in particular finance leases). These increase the CFR, but include a borrowing facility by the lease provider and so the council is not required to borrow separately for these schemes.</w:t>
      </w:r>
    </w:p>
    <w:p w:rsidR="00FC096A" w:rsidRDefault="00FC096A" w:rsidP="00FC096A">
      <w:pPr>
        <w:ind w:left="426"/>
        <w:rPr>
          <w:szCs w:val="22"/>
        </w:rPr>
      </w:pPr>
    </w:p>
    <w:p w:rsidR="00FC096A" w:rsidRDefault="00D24583" w:rsidP="00D24583">
      <w:pPr>
        <w:ind w:left="709" w:hanging="709"/>
        <w:rPr>
          <w:szCs w:val="22"/>
        </w:rPr>
      </w:pPr>
      <w:r>
        <w:rPr>
          <w:szCs w:val="22"/>
        </w:rPr>
        <w:t>6.6</w:t>
      </w:r>
      <w:r>
        <w:rPr>
          <w:szCs w:val="22"/>
        </w:rPr>
        <w:tab/>
      </w:r>
      <w:r w:rsidR="00FC096A">
        <w:rPr>
          <w:szCs w:val="22"/>
        </w:rPr>
        <w:t>The outturn CFR compared to estimated figures is shown in Table 3:</w:t>
      </w:r>
    </w:p>
    <w:p w:rsidR="00FC096A" w:rsidRDefault="00FC096A" w:rsidP="00FC096A">
      <w:pPr>
        <w:ind w:left="426"/>
        <w:rPr>
          <w:szCs w:val="22"/>
        </w:rPr>
      </w:pPr>
    </w:p>
    <w:p w:rsidR="00FC096A" w:rsidRDefault="00FC096A" w:rsidP="00FC096A">
      <w:pPr>
        <w:ind w:left="426"/>
        <w:jc w:val="center"/>
        <w:rPr>
          <w:szCs w:val="22"/>
        </w:rPr>
      </w:pPr>
      <w:r w:rsidRPr="00FC096A">
        <w:rPr>
          <w:noProof/>
        </w:rPr>
        <w:drawing>
          <wp:inline distT="0" distB="0" distL="0" distR="0">
            <wp:extent cx="5486400" cy="2038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2038350"/>
                    </a:xfrm>
                    <a:prstGeom prst="rect">
                      <a:avLst/>
                    </a:prstGeom>
                    <a:noFill/>
                    <a:ln>
                      <a:noFill/>
                    </a:ln>
                  </pic:spPr>
                </pic:pic>
              </a:graphicData>
            </a:graphic>
          </wp:inline>
        </w:drawing>
      </w:r>
    </w:p>
    <w:p w:rsidR="00FC096A" w:rsidRDefault="00FC096A" w:rsidP="00FC096A">
      <w:pPr>
        <w:ind w:left="426"/>
        <w:rPr>
          <w:szCs w:val="22"/>
        </w:rPr>
      </w:pPr>
    </w:p>
    <w:p w:rsidR="00FC096A" w:rsidRDefault="00FC096A" w:rsidP="00D24583">
      <w:pPr>
        <w:ind w:left="709" w:hanging="709"/>
        <w:rPr>
          <w:szCs w:val="22"/>
        </w:rPr>
      </w:pPr>
      <w:r>
        <w:rPr>
          <w:szCs w:val="22"/>
          <w:u w:val="single"/>
        </w:rPr>
        <w:t>Ratio of financing costs to net revenue stream</w:t>
      </w:r>
    </w:p>
    <w:p w:rsidR="00FC096A" w:rsidRDefault="00FC096A" w:rsidP="00FC096A">
      <w:pPr>
        <w:ind w:left="426"/>
        <w:rPr>
          <w:szCs w:val="22"/>
        </w:rPr>
      </w:pPr>
    </w:p>
    <w:p w:rsidR="00FC096A" w:rsidRDefault="00D24583" w:rsidP="00D24583">
      <w:pPr>
        <w:ind w:left="709" w:hanging="709"/>
        <w:rPr>
          <w:szCs w:val="22"/>
        </w:rPr>
      </w:pPr>
      <w:r>
        <w:rPr>
          <w:szCs w:val="22"/>
        </w:rPr>
        <w:t>6.7</w:t>
      </w:r>
      <w:r>
        <w:rPr>
          <w:szCs w:val="22"/>
        </w:rPr>
        <w:tab/>
      </w:r>
      <w:r w:rsidR="00FC096A">
        <w:rPr>
          <w:szCs w:val="22"/>
        </w:rPr>
        <w:t>This indicator identifies the trend in the cost of capital (borrowing and other long-term obligation costs net of investment income) against the net revenue stream (council tax, business rates, and general government grants).</w:t>
      </w:r>
    </w:p>
    <w:p w:rsidR="00FC096A" w:rsidRDefault="00FC096A" w:rsidP="00FC096A">
      <w:pPr>
        <w:ind w:left="426"/>
        <w:rPr>
          <w:szCs w:val="22"/>
        </w:rPr>
      </w:pPr>
    </w:p>
    <w:p w:rsidR="00AE43EC" w:rsidRDefault="00AE43EC" w:rsidP="00AE43EC">
      <w:pPr>
        <w:ind w:left="426"/>
        <w:jc w:val="center"/>
        <w:rPr>
          <w:szCs w:val="22"/>
        </w:rPr>
      </w:pPr>
      <w:r w:rsidRPr="00AE43EC">
        <w:rPr>
          <w:noProof/>
        </w:rPr>
        <w:lastRenderedPageBreak/>
        <w:drawing>
          <wp:inline distT="0" distB="0" distL="0" distR="0">
            <wp:extent cx="4895850" cy="1123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95850" cy="1123950"/>
                    </a:xfrm>
                    <a:prstGeom prst="rect">
                      <a:avLst/>
                    </a:prstGeom>
                    <a:noFill/>
                    <a:ln>
                      <a:noFill/>
                    </a:ln>
                  </pic:spPr>
                </pic:pic>
              </a:graphicData>
            </a:graphic>
          </wp:inline>
        </w:drawing>
      </w:r>
    </w:p>
    <w:p w:rsidR="00AE43EC" w:rsidRDefault="00AE43EC" w:rsidP="00FC096A">
      <w:pPr>
        <w:ind w:left="426"/>
        <w:rPr>
          <w:szCs w:val="22"/>
        </w:rPr>
      </w:pPr>
    </w:p>
    <w:p w:rsidR="00FC096A" w:rsidRDefault="00D24583" w:rsidP="00D24583">
      <w:pPr>
        <w:ind w:left="709" w:hanging="709"/>
        <w:rPr>
          <w:szCs w:val="22"/>
        </w:rPr>
      </w:pPr>
      <w:r>
        <w:rPr>
          <w:szCs w:val="22"/>
        </w:rPr>
        <w:t>6.8</w:t>
      </w:r>
      <w:r>
        <w:rPr>
          <w:szCs w:val="22"/>
        </w:rPr>
        <w:tab/>
      </w:r>
      <w:r w:rsidR="00AE43EC">
        <w:rPr>
          <w:szCs w:val="22"/>
        </w:rPr>
        <w:t>The ratio has reduced because financing costs were less than estimated, and the revenue stream was higher than estimated. Interest receivable exceeded the amount estimated when the ratio for the year was calculated, and business rates income (including S31 Grants to finance rates reliefs) exceeded the budgeted income.</w:t>
      </w:r>
    </w:p>
    <w:p w:rsidR="00FC096A" w:rsidRDefault="00FC096A" w:rsidP="00FC096A">
      <w:pPr>
        <w:ind w:left="426"/>
        <w:rPr>
          <w:szCs w:val="22"/>
        </w:rPr>
      </w:pPr>
    </w:p>
    <w:p w:rsidR="00FC096A" w:rsidRDefault="00FC096A" w:rsidP="00D24583">
      <w:pPr>
        <w:ind w:left="709" w:hanging="709"/>
        <w:rPr>
          <w:szCs w:val="22"/>
        </w:rPr>
      </w:pPr>
      <w:r>
        <w:rPr>
          <w:szCs w:val="22"/>
          <w:u w:val="single"/>
        </w:rPr>
        <w:t>Core funds and expected investment balances</w:t>
      </w:r>
    </w:p>
    <w:p w:rsidR="00FC096A" w:rsidRDefault="00FC096A" w:rsidP="00FC096A">
      <w:pPr>
        <w:ind w:left="426"/>
        <w:rPr>
          <w:szCs w:val="22"/>
        </w:rPr>
      </w:pPr>
    </w:p>
    <w:p w:rsidR="00FC096A" w:rsidRDefault="00D24583" w:rsidP="00D24583">
      <w:pPr>
        <w:ind w:left="709" w:hanging="709"/>
        <w:rPr>
          <w:szCs w:val="22"/>
        </w:rPr>
      </w:pPr>
      <w:r>
        <w:rPr>
          <w:szCs w:val="22"/>
        </w:rPr>
        <w:t>6.9</w:t>
      </w:r>
      <w:r>
        <w:rPr>
          <w:szCs w:val="22"/>
        </w:rPr>
        <w:tab/>
      </w:r>
      <w:r w:rsidR="00FC096A">
        <w:rPr>
          <w:szCs w:val="22"/>
        </w:rPr>
        <w:t>The application of resources such as c</w:t>
      </w:r>
      <w:r w:rsidR="003C4253">
        <w:rPr>
          <w:szCs w:val="22"/>
        </w:rPr>
        <w:t xml:space="preserve">apital receipts and reserves either to finance capital expenditure or to support the revenue budget will have an ongoing impact on investments unless resources are supplemented each year from new sources, such as asset sales. </w:t>
      </w:r>
    </w:p>
    <w:p w:rsidR="00466239" w:rsidRDefault="00466239" w:rsidP="00FC096A">
      <w:pPr>
        <w:ind w:left="426"/>
        <w:rPr>
          <w:szCs w:val="22"/>
        </w:rPr>
      </w:pPr>
    </w:p>
    <w:p w:rsidR="00466239" w:rsidRDefault="00D24583" w:rsidP="00D24583">
      <w:pPr>
        <w:ind w:left="709" w:hanging="709"/>
        <w:rPr>
          <w:szCs w:val="22"/>
        </w:rPr>
      </w:pPr>
      <w:r>
        <w:rPr>
          <w:szCs w:val="22"/>
        </w:rPr>
        <w:t>6.10</w:t>
      </w:r>
      <w:r>
        <w:rPr>
          <w:szCs w:val="22"/>
        </w:rPr>
        <w:tab/>
      </w:r>
      <w:r w:rsidR="00466239">
        <w:rPr>
          <w:szCs w:val="22"/>
        </w:rPr>
        <w:t>Table 5 shows that investments exceeded the forecast by £1.392m.</w:t>
      </w:r>
    </w:p>
    <w:p w:rsidR="00466239" w:rsidRDefault="00466239" w:rsidP="00FC096A">
      <w:pPr>
        <w:ind w:left="426"/>
        <w:rPr>
          <w:szCs w:val="22"/>
        </w:rPr>
      </w:pPr>
    </w:p>
    <w:p w:rsidR="00466239" w:rsidRDefault="002E58BB" w:rsidP="00466239">
      <w:pPr>
        <w:ind w:left="426"/>
        <w:jc w:val="center"/>
        <w:rPr>
          <w:szCs w:val="22"/>
        </w:rPr>
      </w:pPr>
      <w:r w:rsidRPr="002E58BB">
        <w:drawing>
          <wp:inline distT="0" distB="0" distL="0" distR="0">
            <wp:extent cx="4181475" cy="22288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81475" cy="2228850"/>
                    </a:xfrm>
                    <a:prstGeom prst="rect">
                      <a:avLst/>
                    </a:prstGeom>
                    <a:noFill/>
                    <a:ln>
                      <a:noFill/>
                    </a:ln>
                  </pic:spPr>
                </pic:pic>
              </a:graphicData>
            </a:graphic>
          </wp:inline>
        </w:drawing>
      </w:r>
    </w:p>
    <w:p w:rsidR="00466239" w:rsidRDefault="00466239" w:rsidP="00466239">
      <w:pPr>
        <w:ind w:left="426"/>
        <w:jc w:val="center"/>
        <w:rPr>
          <w:szCs w:val="22"/>
        </w:rPr>
      </w:pPr>
    </w:p>
    <w:p w:rsidR="00466239" w:rsidRDefault="00466239" w:rsidP="004B3293">
      <w:pPr>
        <w:ind w:left="426"/>
        <w:rPr>
          <w:szCs w:val="22"/>
        </w:rPr>
      </w:pPr>
      <w:r w:rsidRPr="00466239">
        <w:rPr>
          <w:szCs w:val="22"/>
        </w:rPr>
        <w:t>*Working capital balances shown are estimated year-end; these may be higher mid-year</w:t>
      </w:r>
    </w:p>
    <w:p w:rsidR="00A609DF" w:rsidRDefault="00A609DF" w:rsidP="00A609DF">
      <w:pPr>
        <w:ind w:left="426"/>
        <w:rPr>
          <w:szCs w:val="22"/>
        </w:rPr>
      </w:pPr>
    </w:p>
    <w:p w:rsidR="00466239" w:rsidRDefault="00466239" w:rsidP="00D24583">
      <w:pPr>
        <w:rPr>
          <w:szCs w:val="22"/>
        </w:rPr>
      </w:pPr>
      <w:r>
        <w:rPr>
          <w:szCs w:val="22"/>
          <w:u w:val="single"/>
        </w:rPr>
        <w:t>Portfolio position</w:t>
      </w:r>
    </w:p>
    <w:p w:rsidR="00466239" w:rsidRDefault="00466239" w:rsidP="00466239">
      <w:pPr>
        <w:ind w:left="426"/>
        <w:rPr>
          <w:szCs w:val="22"/>
        </w:rPr>
      </w:pPr>
    </w:p>
    <w:p w:rsidR="00466239" w:rsidRDefault="00D24583" w:rsidP="00D24583">
      <w:pPr>
        <w:ind w:left="709" w:hanging="709"/>
        <w:rPr>
          <w:szCs w:val="22"/>
        </w:rPr>
      </w:pPr>
      <w:r>
        <w:rPr>
          <w:szCs w:val="22"/>
        </w:rPr>
        <w:t>6.11</w:t>
      </w:r>
      <w:r>
        <w:rPr>
          <w:szCs w:val="22"/>
        </w:rPr>
        <w:tab/>
      </w:r>
      <w:r w:rsidR="00466239">
        <w:rPr>
          <w:szCs w:val="22"/>
        </w:rPr>
        <w:t>Table 6 shows the actual external debt (the treasury management operations) against the underlying capital borrowing need (the Capital Financing Requirement), highlighting under borrowing of £3.726m as at 31 March 2018.</w:t>
      </w:r>
    </w:p>
    <w:p w:rsidR="00466239" w:rsidRDefault="00466239" w:rsidP="00466239">
      <w:pPr>
        <w:ind w:left="426"/>
        <w:rPr>
          <w:szCs w:val="22"/>
        </w:rPr>
      </w:pPr>
    </w:p>
    <w:p w:rsidR="00466239" w:rsidRDefault="002E58BB" w:rsidP="00466239">
      <w:pPr>
        <w:ind w:left="426"/>
        <w:jc w:val="center"/>
        <w:rPr>
          <w:szCs w:val="22"/>
        </w:rPr>
      </w:pPr>
      <w:r w:rsidRPr="002E58BB">
        <w:lastRenderedPageBreak/>
        <w:drawing>
          <wp:inline distT="0" distB="0" distL="0" distR="0">
            <wp:extent cx="4695825" cy="34861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95825" cy="3486150"/>
                    </a:xfrm>
                    <a:prstGeom prst="rect">
                      <a:avLst/>
                    </a:prstGeom>
                    <a:noFill/>
                    <a:ln>
                      <a:noFill/>
                    </a:ln>
                  </pic:spPr>
                </pic:pic>
              </a:graphicData>
            </a:graphic>
          </wp:inline>
        </w:drawing>
      </w:r>
    </w:p>
    <w:p w:rsidR="00466239" w:rsidRDefault="00466239" w:rsidP="00466239">
      <w:pPr>
        <w:ind w:left="426"/>
        <w:rPr>
          <w:szCs w:val="22"/>
        </w:rPr>
      </w:pPr>
    </w:p>
    <w:p w:rsidR="00466239" w:rsidRDefault="00D24583" w:rsidP="00D24583">
      <w:pPr>
        <w:ind w:left="709" w:hanging="709"/>
        <w:rPr>
          <w:szCs w:val="22"/>
        </w:rPr>
      </w:pPr>
      <w:r>
        <w:rPr>
          <w:szCs w:val="22"/>
        </w:rPr>
        <w:t>6.12</w:t>
      </w:r>
      <w:r>
        <w:rPr>
          <w:szCs w:val="22"/>
        </w:rPr>
        <w:tab/>
      </w:r>
      <w:r w:rsidR="00466239">
        <w:rPr>
          <w:szCs w:val="22"/>
        </w:rPr>
        <w:t xml:space="preserve">The under borrowing reflects the use of the council’s own cash to finance capital expenditure, being a form of internal borrowing, rather than taking external loans from a source such as the Public Works Loan Board. Though there is a loss of interest </w:t>
      </w:r>
      <w:r w:rsidR="002E58BB">
        <w:rPr>
          <w:szCs w:val="22"/>
        </w:rPr>
        <w:t xml:space="preserve">receivable </w:t>
      </w:r>
      <w:r w:rsidR="00466239">
        <w:rPr>
          <w:szCs w:val="22"/>
        </w:rPr>
        <w:t xml:space="preserve">because the £3.726m cash was not available to invest, the interest </w:t>
      </w:r>
      <w:r w:rsidR="002E58BB">
        <w:rPr>
          <w:szCs w:val="22"/>
        </w:rPr>
        <w:t xml:space="preserve">that would have been </w:t>
      </w:r>
      <w:r w:rsidR="00466239">
        <w:rPr>
          <w:szCs w:val="22"/>
        </w:rPr>
        <w:t>earned would have been a lot lower than the interest payable on the PWLB loans that would have been required to generate the extra cash balance. At present this is the best value us</w:t>
      </w:r>
      <w:r w:rsidR="002E58BB">
        <w:rPr>
          <w:szCs w:val="22"/>
        </w:rPr>
        <w:t>e</w:t>
      </w:r>
      <w:r w:rsidR="00466239">
        <w:rPr>
          <w:szCs w:val="22"/>
        </w:rPr>
        <w:t xml:space="preserve"> of the council’s cash.</w:t>
      </w:r>
    </w:p>
    <w:p w:rsidR="00466239" w:rsidRDefault="00466239" w:rsidP="00466239">
      <w:pPr>
        <w:ind w:left="426"/>
        <w:rPr>
          <w:szCs w:val="22"/>
        </w:rPr>
      </w:pPr>
    </w:p>
    <w:p w:rsidR="00466239" w:rsidRDefault="00466239" w:rsidP="00D24583">
      <w:pPr>
        <w:rPr>
          <w:szCs w:val="22"/>
        </w:rPr>
      </w:pPr>
      <w:r>
        <w:rPr>
          <w:szCs w:val="22"/>
          <w:u w:val="single"/>
        </w:rPr>
        <w:t>Operational Boundary</w:t>
      </w:r>
    </w:p>
    <w:p w:rsidR="00466239" w:rsidRDefault="00466239" w:rsidP="00466239">
      <w:pPr>
        <w:ind w:left="426"/>
        <w:rPr>
          <w:szCs w:val="22"/>
        </w:rPr>
      </w:pPr>
    </w:p>
    <w:p w:rsidR="00466239" w:rsidRDefault="00D24583" w:rsidP="00D24583">
      <w:pPr>
        <w:ind w:left="709" w:hanging="709"/>
        <w:rPr>
          <w:szCs w:val="22"/>
        </w:rPr>
      </w:pPr>
      <w:r>
        <w:rPr>
          <w:szCs w:val="22"/>
        </w:rPr>
        <w:t>6.13</w:t>
      </w:r>
      <w:r>
        <w:rPr>
          <w:szCs w:val="22"/>
        </w:rPr>
        <w:tab/>
      </w:r>
      <w:r w:rsidR="00466239">
        <w:rPr>
          <w:szCs w:val="22"/>
        </w:rPr>
        <w:t xml:space="preserve">The council set a revised Operational Boundary of £0.749m for 2017/18. This is the limit beyond which external debt is not normally expected to exceed. </w:t>
      </w:r>
      <w:r w:rsidR="00AE00C9">
        <w:rPr>
          <w:szCs w:val="22"/>
        </w:rPr>
        <w:t>This could be set at a similar figure to the CFR if the council expected to borrow at that level, but the ability to fund under-borrowing from other cash resources meant that for 2017/18 it was set at the estimated level of finance lease debt as at 31 March 2018. Table 6 above shows that the actual debt was £0.900m, so this indicator was exceeded by £0.151m.</w:t>
      </w:r>
    </w:p>
    <w:p w:rsidR="00AE00C9" w:rsidRDefault="00AE00C9" w:rsidP="00466239">
      <w:pPr>
        <w:ind w:left="426"/>
        <w:rPr>
          <w:szCs w:val="22"/>
        </w:rPr>
      </w:pPr>
    </w:p>
    <w:p w:rsidR="00AE00C9" w:rsidRDefault="00AE00C9" w:rsidP="00D24583">
      <w:pPr>
        <w:rPr>
          <w:szCs w:val="22"/>
        </w:rPr>
      </w:pPr>
      <w:r>
        <w:rPr>
          <w:szCs w:val="22"/>
          <w:u w:val="single"/>
        </w:rPr>
        <w:t>Authorised Limit for external debt</w:t>
      </w:r>
    </w:p>
    <w:p w:rsidR="00AE00C9" w:rsidRDefault="00AE00C9" w:rsidP="00466239">
      <w:pPr>
        <w:ind w:left="426"/>
        <w:rPr>
          <w:szCs w:val="22"/>
        </w:rPr>
      </w:pPr>
    </w:p>
    <w:p w:rsidR="00AE00C9" w:rsidRDefault="00D24583" w:rsidP="00D24583">
      <w:pPr>
        <w:ind w:left="709" w:hanging="709"/>
        <w:rPr>
          <w:szCs w:val="22"/>
        </w:rPr>
      </w:pPr>
      <w:r>
        <w:rPr>
          <w:szCs w:val="22"/>
        </w:rPr>
        <w:t>6.14</w:t>
      </w:r>
      <w:r>
        <w:rPr>
          <w:szCs w:val="22"/>
        </w:rPr>
        <w:tab/>
      </w:r>
      <w:r w:rsidR="00AE00C9">
        <w:rPr>
          <w:szCs w:val="22"/>
        </w:rPr>
        <w:t>This is a control on the maximum level of borrowing. It represents a limit beyond which external debt is prohibited, and this limit needs to be set or revised by full council. It reflects the level of external debt which, while not desired, could be afforded in the short term, but is not sustainable in the longer term.</w:t>
      </w:r>
    </w:p>
    <w:p w:rsidR="00AE00C9" w:rsidRDefault="00AE00C9" w:rsidP="00466239">
      <w:pPr>
        <w:ind w:left="426"/>
        <w:rPr>
          <w:szCs w:val="22"/>
        </w:rPr>
      </w:pPr>
    </w:p>
    <w:p w:rsidR="00AE00C9" w:rsidRDefault="00D24583" w:rsidP="00D24583">
      <w:pPr>
        <w:ind w:left="709" w:hanging="709"/>
        <w:rPr>
          <w:szCs w:val="22"/>
        </w:rPr>
      </w:pPr>
      <w:r>
        <w:rPr>
          <w:szCs w:val="22"/>
        </w:rPr>
        <w:t>6.15</w:t>
      </w:r>
      <w:r>
        <w:rPr>
          <w:szCs w:val="22"/>
        </w:rPr>
        <w:tab/>
      </w:r>
      <w:r w:rsidR="00AE00C9">
        <w:rPr>
          <w:szCs w:val="22"/>
        </w:rPr>
        <w:t>The revised limit for 2017/18 approved by council was £3.749m, and it was not exceeded.</w:t>
      </w:r>
    </w:p>
    <w:p w:rsidR="00AE00C9" w:rsidRDefault="00AE00C9" w:rsidP="00466239">
      <w:pPr>
        <w:ind w:left="426"/>
        <w:rPr>
          <w:szCs w:val="22"/>
        </w:rPr>
      </w:pPr>
    </w:p>
    <w:p w:rsidR="00AE00C9" w:rsidRDefault="00AE00C9" w:rsidP="00D24583">
      <w:pPr>
        <w:rPr>
          <w:szCs w:val="22"/>
        </w:rPr>
      </w:pPr>
      <w:r>
        <w:rPr>
          <w:szCs w:val="22"/>
          <w:u w:val="single"/>
        </w:rPr>
        <w:t>Investment Performance 2017/18</w:t>
      </w:r>
    </w:p>
    <w:p w:rsidR="00AE00C9" w:rsidRDefault="00AE00C9" w:rsidP="00466239">
      <w:pPr>
        <w:ind w:left="426"/>
        <w:rPr>
          <w:szCs w:val="22"/>
        </w:rPr>
      </w:pPr>
    </w:p>
    <w:p w:rsidR="00AE00C9" w:rsidRDefault="00D24583" w:rsidP="00D24583">
      <w:pPr>
        <w:ind w:left="709" w:hanging="709"/>
        <w:rPr>
          <w:szCs w:val="22"/>
        </w:rPr>
      </w:pPr>
      <w:r>
        <w:rPr>
          <w:szCs w:val="22"/>
        </w:rPr>
        <w:t>6.16</w:t>
      </w:r>
      <w:r>
        <w:rPr>
          <w:szCs w:val="22"/>
        </w:rPr>
        <w:tab/>
      </w:r>
      <w:r w:rsidR="00AE00C9">
        <w:rPr>
          <w:szCs w:val="22"/>
        </w:rPr>
        <w:t>Income earned by category of investment is shown in Table 7 following:</w:t>
      </w:r>
    </w:p>
    <w:p w:rsidR="00AE43EC" w:rsidRDefault="00AE43EC" w:rsidP="00466239">
      <w:pPr>
        <w:ind w:left="426"/>
        <w:rPr>
          <w:szCs w:val="22"/>
        </w:rPr>
      </w:pPr>
    </w:p>
    <w:p w:rsidR="00AE00C9" w:rsidRDefault="00AE00C9" w:rsidP="00AE00C9">
      <w:pPr>
        <w:ind w:left="426"/>
        <w:jc w:val="center"/>
        <w:rPr>
          <w:szCs w:val="22"/>
        </w:rPr>
      </w:pPr>
      <w:r w:rsidRPr="00AE00C9">
        <w:rPr>
          <w:noProof/>
        </w:rPr>
        <w:lastRenderedPageBreak/>
        <w:drawing>
          <wp:inline distT="0" distB="0" distL="0" distR="0">
            <wp:extent cx="4648200" cy="20478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48200" cy="2047875"/>
                    </a:xfrm>
                    <a:prstGeom prst="rect">
                      <a:avLst/>
                    </a:prstGeom>
                    <a:noFill/>
                    <a:ln>
                      <a:noFill/>
                    </a:ln>
                  </pic:spPr>
                </pic:pic>
              </a:graphicData>
            </a:graphic>
          </wp:inline>
        </w:drawing>
      </w:r>
    </w:p>
    <w:p w:rsidR="00AE00C9" w:rsidRDefault="00AE00C9" w:rsidP="00AE00C9">
      <w:pPr>
        <w:rPr>
          <w:szCs w:val="22"/>
        </w:rPr>
      </w:pPr>
    </w:p>
    <w:p w:rsidR="00AE00C9" w:rsidRDefault="00D24583" w:rsidP="00D24583">
      <w:pPr>
        <w:ind w:left="709" w:hanging="709"/>
        <w:rPr>
          <w:szCs w:val="22"/>
        </w:rPr>
      </w:pPr>
      <w:r>
        <w:rPr>
          <w:szCs w:val="22"/>
        </w:rPr>
        <w:t>6.17</w:t>
      </w:r>
      <w:r>
        <w:rPr>
          <w:szCs w:val="22"/>
        </w:rPr>
        <w:tab/>
      </w:r>
      <w:r w:rsidR="00AE00C9">
        <w:rPr>
          <w:szCs w:val="22"/>
        </w:rPr>
        <w:t xml:space="preserve">No use was made of the government’s Debt Management Office DMADF account, which though very secure offers a lower rate of interest </w:t>
      </w:r>
      <w:r w:rsidR="002E58BB">
        <w:rPr>
          <w:szCs w:val="22"/>
        </w:rPr>
        <w:t xml:space="preserve">for short-term deposits </w:t>
      </w:r>
      <w:r w:rsidR="00AE00C9">
        <w:rPr>
          <w:szCs w:val="22"/>
        </w:rPr>
        <w:t>than alternatives such as call accounts and money market funds. Term dep</w:t>
      </w:r>
      <w:r w:rsidR="002E58BB">
        <w:rPr>
          <w:szCs w:val="22"/>
        </w:rPr>
        <w:t xml:space="preserve">osits and notice accounts were </w:t>
      </w:r>
      <w:r w:rsidR="00AE00C9">
        <w:rPr>
          <w:szCs w:val="22"/>
        </w:rPr>
        <w:t>u</w:t>
      </w:r>
      <w:r w:rsidR="002E58BB">
        <w:rPr>
          <w:szCs w:val="22"/>
        </w:rPr>
        <w:t>s</w:t>
      </w:r>
      <w:r w:rsidR="00AE00C9">
        <w:rPr>
          <w:szCs w:val="22"/>
        </w:rPr>
        <w:t>ed for cash which could be invested for longer periods at higher interest rates.</w:t>
      </w:r>
    </w:p>
    <w:p w:rsidR="00AE00C9" w:rsidRDefault="00AE00C9" w:rsidP="00AE00C9">
      <w:pPr>
        <w:ind w:left="426"/>
        <w:rPr>
          <w:szCs w:val="22"/>
        </w:rPr>
      </w:pPr>
    </w:p>
    <w:p w:rsidR="00AE00C9" w:rsidRDefault="00D24583" w:rsidP="00D24583">
      <w:pPr>
        <w:ind w:left="709" w:hanging="709"/>
        <w:rPr>
          <w:szCs w:val="22"/>
        </w:rPr>
      </w:pPr>
      <w:r>
        <w:rPr>
          <w:szCs w:val="22"/>
        </w:rPr>
        <w:t>6.18</w:t>
      </w:r>
      <w:r>
        <w:rPr>
          <w:szCs w:val="22"/>
        </w:rPr>
        <w:tab/>
      </w:r>
      <w:r w:rsidR="00AE00C9">
        <w:rPr>
          <w:szCs w:val="22"/>
        </w:rPr>
        <w:t xml:space="preserve">The average rate earned was 0.49%, which is lower than the 0.57% achieved in 2016/17. Unfortunately all investment counterparties offered lower rates of interest than in the previous financial year. </w:t>
      </w:r>
    </w:p>
    <w:p w:rsidR="005665C3" w:rsidRDefault="005665C3" w:rsidP="00AE00C9">
      <w:pPr>
        <w:ind w:left="426"/>
        <w:rPr>
          <w:szCs w:val="22"/>
        </w:rPr>
      </w:pPr>
    </w:p>
    <w:p w:rsidR="005665C3" w:rsidRDefault="00D24583" w:rsidP="00D24583">
      <w:pPr>
        <w:ind w:left="709" w:hanging="709"/>
        <w:rPr>
          <w:szCs w:val="22"/>
        </w:rPr>
      </w:pPr>
      <w:r>
        <w:rPr>
          <w:szCs w:val="22"/>
        </w:rPr>
        <w:t>6.19</w:t>
      </w:r>
      <w:r>
        <w:rPr>
          <w:szCs w:val="22"/>
        </w:rPr>
        <w:tab/>
      </w:r>
      <w:r w:rsidR="005665C3">
        <w:rPr>
          <w:szCs w:val="22"/>
        </w:rPr>
        <w:t xml:space="preserve">The performance benchmark is the 7-day London Interbank Bid (LIBID) rate, which averaged 0.21% in 2017/18. The performance target is to achieve a return rate 15% greater than LIBID, so the target </w:t>
      </w:r>
      <w:r w:rsidR="00F31C99">
        <w:rPr>
          <w:szCs w:val="22"/>
        </w:rPr>
        <w:t xml:space="preserve">for 2017/18 </w:t>
      </w:r>
      <w:r w:rsidR="005665C3">
        <w:rPr>
          <w:szCs w:val="22"/>
        </w:rPr>
        <w:t>was 0.24% and the actual return of 0.49% exceeded the target.</w:t>
      </w:r>
    </w:p>
    <w:p w:rsidR="005665C3" w:rsidRDefault="005665C3" w:rsidP="00AE00C9">
      <w:pPr>
        <w:ind w:left="426"/>
        <w:rPr>
          <w:szCs w:val="22"/>
        </w:rPr>
      </w:pPr>
    </w:p>
    <w:p w:rsidR="005665C3" w:rsidRDefault="00D24583" w:rsidP="00D24583">
      <w:pPr>
        <w:ind w:left="709" w:hanging="709"/>
        <w:rPr>
          <w:szCs w:val="22"/>
        </w:rPr>
      </w:pPr>
      <w:r>
        <w:rPr>
          <w:szCs w:val="22"/>
        </w:rPr>
        <w:t>6.20</w:t>
      </w:r>
      <w:r>
        <w:rPr>
          <w:szCs w:val="22"/>
        </w:rPr>
        <w:tab/>
      </w:r>
      <w:r w:rsidR="005665C3">
        <w:rPr>
          <w:szCs w:val="22"/>
        </w:rPr>
        <w:t>Investments held as at 31 March 2018, excluding accrued interest, are presented in Appendix A. The list of approved investment categories for 2017/18 is presented as Appendix B.</w:t>
      </w:r>
    </w:p>
    <w:p w:rsidR="005665C3" w:rsidRDefault="005665C3" w:rsidP="00AE00C9">
      <w:pPr>
        <w:ind w:left="426"/>
        <w:rPr>
          <w:szCs w:val="22"/>
        </w:rPr>
      </w:pPr>
    </w:p>
    <w:p w:rsidR="005665C3" w:rsidRDefault="00D24583" w:rsidP="00D24583">
      <w:pPr>
        <w:ind w:left="709" w:hanging="709"/>
        <w:rPr>
          <w:szCs w:val="22"/>
        </w:rPr>
      </w:pPr>
      <w:r>
        <w:rPr>
          <w:szCs w:val="22"/>
        </w:rPr>
        <w:t>6.21</w:t>
      </w:r>
      <w:r>
        <w:rPr>
          <w:szCs w:val="22"/>
        </w:rPr>
        <w:tab/>
      </w:r>
      <w:r w:rsidR="005665C3">
        <w:rPr>
          <w:szCs w:val="22"/>
        </w:rPr>
        <w:t>Table 8 summarises the term deposits at yea</w:t>
      </w:r>
      <w:r w:rsidR="00893BEE">
        <w:rPr>
          <w:szCs w:val="22"/>
        </w:rPr>
        <w:t>r</w:t>
      </w:r>
      <w:r w:rsidR="005665C3">
        <w:rPr>
          <w:szCs w:val="22"/>
        </w:rPr>
        <w:t>-end by investment counterparty, and compares the value to the approved maximum. All totals were within the maximum approved, and all investments in 2017/18 complied with the approved policy.</w:t>
      </w:r>
    </w:p>
    <w:p w:rsidR="005665C3" w:rsidRDefault="005665C3" w:rsidP="00AE00C9">
      <w:pPr>
        <w:ind w:left="426"/>
        <w:rPr>
          <w:szCs w:val="22"/>
        </w:rPr>
      </w:pPr>
    </w:p>
    <w:p w:rsidR="005665C3" w:rsidRPr="00AE00C9" w:rsidRDefault="005665C3" w:rsidP="005665C3">
      <w:pPr>
        <w:ind w:left="426"/>
        <w:jc w:val="center"/>
        <w:rPr>
          <w:szCs w:val="22"/>
        </w:rPr>
      </w:pPr>
      <w:r w:rsidRPr="005665C3">
        <w:rPr>
          <w:noProof/>
        </w:rPr>
        <w:drawing>
          <wp:inline distT="0" distB="0" distL="0" distR="0">
            <wp:extent cx="4619625" cy="29527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19625" cy="2952750"/>
                    </a:xfrm>
                    <a:prstGeom prst="rect">
                      <a:avLst/>
                    </a:prstGeom>
                    <a:noFill/>
                    <a:ln>
                      <a:noFill/>
                    </a:ln>
                  </pic:spPr>
                </pic:pic>
              </a:graphicData>
            </a:graphic>
          </wp:inline>
        </w:drawing>
      </w:r>
    </w:p>
    <w:p w:rsidR="001938D6" w:rsidRPr="00F31C99" w:rsidRDefault="001938D6" w:rsidP="002F5C5E">
      <w:pPr>
        <w:ind w:left="426"/>
        <w:rPr>
          <w:szCs w:val="22"/>
        </w:rPr>
      </w:pPr>
    </w:p>
    <w:p w:rsidR="00A5634A" w:rsidRDefault="00CA207E" w:rsidP="00CA207E">
      <w:pPr>
        <w:ind w:left="709" w:hanging="709"/>
        <w:rPr>
          <w:szCs w:val="22"/>
        </w:rPr>
      </w:pPr>
      <w:r>
        <w:rPr>
          <w:szCs w:val="22"/>
        </w:rPr>
        <w:lastRenderedPageBreak/>
        <w:t>6.22</w:t>
      </w:r>
      <w:r>
        <w:rPr>
          <w:szCs w:val="22"/>
        </w:rPr>
        <w:tab/>
      </w:r>
      <w:r w:rsidR="00A5634A">
        <w:rPr>
          <w:szCs w:val="22"/>
        </w:rPr>
        <w:t xml:space="preserve">Though approved investment counterparties included all UK banks with suitable creditworthiness, most of the large banks </w:t>
      </w:r>
      <w:r w:rsidR="005C6014">
        <w:rPr>
          <w:szCs w:val="22"/>
        </w:rPr>
        <w:t>with</w:t>
      </w:r>
      <w:r w:rsidR="00A5634A">
        <w:rPr>
          <w:szCs w:val="22"/>
        </w:rPr>
        <w:t xml:space="preserve"> suitable credit ratings are not on this list. This is because many of them set high minimum deposit values for local authorities, £20m being typical, and this council would not deposit such a value with one counterparty. Unfortunately this restricts the availability of bank counterparties which can be used for term deposits.</w:t>
      </w:r>
    </w:p>
    <w:p w:rsidR="00A5634A" w:rsidRDefault="00A5634A" w:rsidP="002F5C5E">
      <w:pPr>
        <w:ind w:left="426"/>
        <w:rPr>
          <w:szCs w:val="22"/>
        </w:rPr>
      </w:pPr>
    </w:p>
    <w:p w:rsidR="005665C3" w:rsidRDefault="00CA207E" w:rsidP="00CA207E">
      <w:pPr>
        <w:ind w:left="709" w:hanging="709"/>
        <w:rPr>
          <w:szCs w:val="22"/>
        </w:rPr>
      </w:pPr>
      <w:r>
        <w:rPr>
          <w:szCs w:val="22"/>
        </w:rPr>
        <w:t>6.23</w:t>
      </w:r>
      <w:r>
        <w:rPr>
          <w:szCs w:val="22"/>
        </w:rPr>
        <w:tab/>
      </w:r>
      <w:r w:rsidR="00F31C99" w:rsidRPr="00F31C99">
        <w:rPr>
          <w:szCs w:val="22"/>
        </w:rPr>
        <w:t>The highest value</w:t>
      </w:r>
      <w:r w:rsidR="00F31C99">
        <w:rPr>
          <w:szCs w:val="22"/>
        </w:rPr>
        <w:t xml:space="preserve"> invested during 2017/18 was £45.1m in February 2018.</w:t>
      </w:r>
      <w:r>
        <w:rPr>
          <w:szCs w:val="22"/>
        </w:rPr>
        <w:t xml:space="preserve"> Such sums are achieved temporarily when the council holds cash such as council tax and business rates</w:t>
      </w:r>
      <w:r w:rsidR="005C6014">
        <w:rPr>
          <w:szCs w:val="22"/>
        </w:rPr>
        <w:t>,</w:t>
      </w:r>
      <w:r>
        <w:rPr>
          <w:szCs w:val="22"/>
        </w:rPr>
        <w:t xml:space="preserve"> collected on behalf of government and other local authorities</w:t>
      </w:r>
      <w:r w:rsidR="005C6014">
        <w:rPr>
          <w:szCs w:val="22"/>
        </w:rPr>
        <w:t>,</w:t>
      </w:r>
      <w:r>
        <w:rPr>
          <w:szCs w:val="22"/>
        </w:rPr>
        <w:t xml:space="preserve"> which is paid over </w:t>
      </w:r>
      <w:r w:rsidR="005C6014">
        <w:rPr>
          <w:szCs w:val="22"/>
        </w:rPr>
        <w:t xml:space="preserve">to other bodies </w:t>
      </w:r>
      <w:r>
        <w:rPr>
          <w:szCs w:val="22"/>
        </w:rPr>
        <w:t>after being invested for a few days.</w:t>
      </w:r>
    </w:p>
    <w:p w:rsidR="00F31C99" w:rsidRDefault="00F31C99" w:rsidP="002F5C5E">
      <w:pPr>
        <w:ind w:left="426"/>
        <w:rPr>
          <w:szCs w:val="22"/>
        </w:rPr>
      </w:pPr>
    </w:p>
    <w:p w:rsidR="00F31C99" w:rsidRDefault="00CA207E" w:rsidP="00CA207E">
      <w:pPr>
        <w:ind w:left="709" w:hanging="709"/>
        <w:rPr>
          <w:szCs w:val="22"/>
        </w:rPr>
      </w:pPr>
      <w:r>
        <w:rPr>
          <w:szCs w:val="22"/>
        </w:rPr>
        <w:t>6.24</w:t>
      </w:r>
      <w:r>
        <w:rPr>
          <w:szCs w:val="22"/>
        </w:rPr>
        <w:tab/>
      </w:r>
      <w:r w:rsidR="00F31C99">
        <w:rPr>
          <w:szCs w:val="22"/>
        </w:rPr>
        <w:t xml:space="preserve">Council approved a maximum of £5m which could be invested with UK local authorities for greater than 365 days. Approval of this limit was to enable a higher rate of return to be earned on a limited amount of the council’s cash, should a local authority make a worthwhile offer. </w:t>
      </w:r>
      <w:r w:rsidR="002E58BB">
        <w:rPr>
          <w:szCs w:val="22"/>
        </w:rPr>
        <w:t>No sums were invested for more than 365 days in 2017/18.</w:t>
      </w:r>
    </w:p>
    <w:p w:rsidR="00F31C99" w:rsidRDefault="00F31C99" w:rsidP="002F5C5E">
      <w:pPr>
        <w:ind w:left="426"/>
        <w:rPr>
          <w:szCs w:val="22"/>
        </w:rPr>
      </w:pPr>
    </w:p>
    <w:p w:rsidR="00F31C99" w:rsidRDefault="00F31C99" w:rsidP="00F31C99">
      <w:pPr>
        <w:ind w:left="426"/>
        <w:jc w:val="center"/>
        <w:rPr>
          <w:szCs w:val="22"/>
        </w:rPr>
      </w:pPr>
      <w:r w:rsidRPr="00F31C99">
        <w:rPr>
          <w:noProof/>
        </w:rPr>
        <w:drawing>
          <wp:inline distT="0" distB="0" distL="0" distR="0">
            <wp:extent cx="4495800" cy="18573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95800" cy="1857375"/>
                    </a:xfrm>
                    <a:prstGeom prst="rect">
                      <a:avLst/>
                    </a:prstGeom>
                    <a:noFill/>
                    <a:ln>
                      <a:noFill/>
                    </a:ln>
                  </pic:spPr>
                </pic:pic>
              </a:graphicData>
            </a:graphic>
          </wp:inline>
        </w:drawing>
      </w:r>
    </w:p>
    <w:p w:rsidR="00F31C99" w:rsidRDefault="00F31C99" w:rsidP="00F31C99">
      <w:pPr>
        <w:ind w:left="426"/>
        <w:rPr>
          <w:szCs w:val="22"/>
        </w:rPr>
      </w:pPr>
    </w:p>
    <w:p w:rsidR="0075776F" w:rsidRDefault="0075776F" w:rsidP="00F31C99">
      <w:pPr>
        <w:ind w:left="426"/>
        <w:rPr>
          <w:szCs w:val="22"/>
        </w:rPr>
      </w:pPr>
    </w:p>
    <w:p w:rsidR="00CA207E" w:rsidRDefault="00CA207E" w:rsidP="00F31C99">
      <w:pPr>
        <w:ind w:left="426"/>
        <w:rPr>
          <w:szCs w:val="22"/>
        </w:rPr>
      </w:pPr>
    </w:p>
    <w:p w:rsidR="0075776F" w:rsidRPr="00792A2B" w:rsidRDefault="0075776F" w:rsidP="0075776F">
      <w:pPr>
        <w:rPr>
          <w:b/>
          <w:szCs w:val="22"/>
        </w:rPr>
      </w:pPr>
      <w:r w:rsidRPr="00792A2B">
        <w:rPr>
          <w:b/>
          <w:szCs w:val="22"/>
        </w:rPr>
        <w:t xml:space="preserve">7.   </w:t>
      </w:r>
      <w:r>
        <w:rPr>
          <w:b/>
          <w:szCs w:val="22"/>
        </w:rPr>
        <w:t>TREASURY MANAGEMENT ACTIVITY MONITORING 2018/19 – QUARTER 1</w:t>
      </w:r>
    </w:p>
    <w:p w:rsidR="0075776F" w:rsidRDefault="00A5634A" w:rsidP="0075776F">
      <w:pPr>
        <w:rPr>
          <w:szCs w:val="22"/>
        </w:rPr>
      </w:pPr>
      <w:r>
        <w:rPr>
          <w:szCs w:val="22"/>
        </w:rPr>
        <w:tab/>
      </w:r>
    </w:p>
    <w:p w:rsidR="00A5634A" w:rsidRDefault="00E31F2A" w:rsidP="00E31F2A">
      <w:pPr>
        <w:ind w:left="709" w:hanging="709"/>
        <w:rPr>
          <w:szCs w:val="22"/>
        </w:rPr>
      </w:pPr>
      <w:r>
        <w:rPr>
          <w:szCs w:val="22"/>
        </w:rPr>
        <w:t>7.1</w:t>
      </w:r>
      <w:r>
        <w:rPr>
          <w:szCs w:val="22"/>
        </w:rPr>
        <w:tab/>
      </w:r>
      <w:r w:rsidR="00A5634A">
        <w:rPr>
          <w:szCs w:val="22"/>
        </w:rPr>
        <w:t>Investment performance for the quarter to 30 June 2018 is shown in the following table:</w:t>
      </w:r>
    </w:p>
    <w:p w:rsidR="00A5634A" w:rsidRDefault="00A5634A" w:rsidP="00A5634A">
      <w:pPr>
        <w:ind w:left="426"/>
        <w:rPr>
          <w:szCs w:val="22"/>
        </w:rPr>
      </w:pPr>
    </w:p>
    <w:p w:rsidR="00A5634A" w:rsidRDefault="00A5634A" w:rsidP="00A5634A">
      <w:pPr>
        <w:ind w:left="426"/>
        <w:jc w:val="center"/>
        <w:rPr>
          <w:szCs w:val="22"/>
        </w:rPr>
      </w:pPr>
      <w:r w:rsidRPr="00A5634A">
        <w:rPr>
          <w:noProof/>
        </w:rPr>
        <w:drawing>
          <wp:inline distT="0" distB="0" distL="0" distR="0">
            <wp:extent cx="4791075" cy="20478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91075" cy="2047875"/>
                    </a:xfrm>
                    <a:prstGeom prst="rect">
                      <a:avLst/>
                    </a:prstGeom>
                    <a:noFill/>
                    <a:ln>
                      <a:noFill/>
                    </a:ln>
                  </pic:spPr>
                </pic:pic>
              </a:graphicData>
            </a:graphic>
          </wp:inline>
        </w:drawing>
      </w:r>
    </w:p>
    <w:p w:rsidR="00A5634A" w:rsidRDefault="00A5634A" w:rsidP="00A5634A">
      <w:pPr>
        <w:ind w:left="426"/>
        <w:rPr>
          <w:szCs w:val="22"/>
        </w:rPr>
      </w:pPr>
    </w:p>
    <w:p w:rsidR="00A5634A" w:rsidRDefault="00E31F2A" w:rsidP="00E31F2A">
      <w:pPr>
        <w:ind w:left="709" w:hanging="709"/>
        <w:rPr>
          <w:szCs w:val="22"/>
        </w:rPr>
      </w:pPr>
      <w:r>
        <w:rPr>
          <w:szCs w:val="22"/>
        </w:rPr>
        <w:t>7.2</w:t>
      </w:r>
      <w:r>
        <w:rPr>
          <w:szCs w:val="22"/>
        </w:rPr>
        <w:tab/>
      </w:r>
      <w:r w:rsidR="00A5634A">
        <w:rPr>
          <w:szCs w:val="22"/>
        </w:rPr>
        <w:t xml:space="preserve">At £35.96m, the average daily investment is currently lower than that for 2017/18, but investments tend to peak later in the year, which increases the average. The average rate </w:t>
      </w:r>
      <w:r w:rsidR="00A5634A">
        <w:rPr>
          <w:szCs w:val="22"/>
        </w:rPr>
        <w:lastRenderedPageBreak/>
        <w:t>of interest achieved for each category is higher than in 2017/18, and the overall average rate is currently 0.63%. No use has been made of the DMO’s Debt Management Account Deposit Facility.</w:t>
      </w:r>
      <w:r w:rsidR="002E58BB">
        <w:rPr>
          <w:szCs w:val="22"/>
        </w:rPr>
        <w:t xml:space="preserve"> The average 7-day LIBID rate to the end of June was 0.36%, and the </w:t>
      </w:r>
      <w:proofErr w:type="spellStart"/>
      <w:r w:rsidR="002E58BB">
        <w:rPr>
          <w:szCs w:val="22"/>
        </w:rPr>
        <w:t>taget</w:t>
      </w:r>
      <w:proofErr w:type="spellEnd"/>
      <w:r w:rsidR="002E58BB">
        <w:rPr>
          <w:szCs w:val="22"/>
        </w:rPr>
        <w:t xml:space="preserve"> to exceed was therefore 0.41%.</w:t>
      </w:r>
    </w:p>
    <w:p w:rsidR="00A5634A" w:rsidRDefault="00A5634A" w:rsidP="00A5634A">
      <w:pPr>
        <w:ind w:left="426"/>
        <w:rPr>
          <w:szCs w:val="22"/>
        </w:rPr>
      </w:pPr>
    </w:p>
    <w:p w:rsidR="00A5634A" w:rsidRDefault="00E31F2A" w:rsidP="00E31F2A">
      <w:pPr>
        <w:ind w:left="709" w:hanging="709"/>
        <w:rPr>
          <w:szCs w:val="22"/>
        </w:rPr>
      </w:pPr>
      <w:r>
        <w:rPr>
          <w:szCs w:val="22"/>
        </w:rPr>
        <w:t>7.3</w:t>
      </w:r>
      <w:r>
        <w:rPr>
          <w:szCs w:val="22"/>
        </w:rPr>
        <w:tab/>
      </w:r>
      <w:r w:rsidR="00A5634A">
        <w:rPr>
          <w:szCs w:val="22"/>
        </w:rPr>
        <w:t xml:space="preserve">A list of investments as at 30 June 2018 </w:t>
      </w:r>
      <w:r w:rsidR="0011642A">
        <w:rPr>
          <w:szCs w:val="22"/>
        </w:rPr>
        <w:t xml:space="preserve">is presented as Appendix C, and approved counterparties for 2018/19 as Appendix D. The only change in approved counterparties since 2017/18 was the deletion of variable net asset value </w:t>
      </w:r>
      <w:r w:rsidR="00E56F24">
        <w:rPr>
          <w:szCs w:val="22"/>
        </w:rPr>
        <w:t xml:space="preserve">(VNAV) </w:t>
      </w:r>
      <w:r w:rsidR="0011642A">
        <w:rPr>
          <w:szCs w:val="22"/>
        </w:rPr>
        <w:t>Enhanced Money Market Funds as an option, b</w:t>
      </w:r>
      <w:r w:rsidR="00E56F24">
        <w:rPr>
          <w:szCs w:val="22"/>
        </w:rPr>
        <w:t>ut such EMMFs had not been used by the council.</w:t>
      </w:r>
    </w:p>
    <w:p w:rsidR="00E31F2A" w:rsidRDefault="00E31F2A" w:rsidP="00E31F2A">
      <w:pPr>
        <w:ind w:left="709" w:hanging="709"/>
        <w:rPr>
          <w:szCs w:val="22"/>
        </w:rPr>
      </w:pPr>
    </w:p>
    <w:p w:rsidR="0011642A" w:rsidRDefault="00E31F2A" w:rsidP="00E31F2A">
      <w:pPr>
        <w:ind w:left="709" w:hanging="709"/>
        <w:rPr>
          <w:szCs w:val="22"/>
        </w:rPr>
      </w:pPr>
      <w:r>
        <w:rPr>
          <w:szCs w:val="22"/>
        </w:rPr>
        <w:t>7.4</w:t>
      </w:r>
      <w:r>
        <w:rPr>
          <w:szCs w:val="22"/>
        </w:rPr>
        <w:tab/>
      </w:r>
      <w:r w:rsidR="0011642A">
        <w:rPr>
          <w:szCs w:val="22"/>
        </w:rPr>
        <w:t>The term deposits by counterparty as at 30 June 2018 were as follows:</w:t>
      </w:r>
    </w:p>
    <w:p w:rsidR="0011642A" w:rsidRDefault="0011642A" w:rsidP="00A5634A">
      <w:pPr>
        <w:ind w:left="426"/>
        <w:rPr>
          <w:szCs w:val="22"/>
        </w:rPr>
      </w:pPr>
    </w:p>
    <w:p w:rsidR="0011642A" w:rsidRDefault="0011642A" w:rsidP="0011642A">
      <w:pPr>
        <w:ind w:left="426"/>
        <w:jc w:val="center"/>
        <w:rPr>
          <w:szCs w:val="22"/>
        </w:rPr>
      </w:pPr>
      <w:r w:rsidRPr="0011642A">
        <w:rPr>
          <w:noProof/>
        </w:rPr>
        <w:drawing>
          <wp:inline distT="0" distB="0" distL="0" distR="0">
            <wp:extent cx="4619625" cy="24098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19625" cy="2409825"/>
                    </a:xfrm>
                    <a:prstGeom prst="rect">
                      <a:avLst/>
                    </a:prstGeom>
                    <a:noFill/>
                    <a:ln>
                      <a:noFill/>
                    </a:ln>
                  </pic:spPr>
                </pic:pic>
              </a:graphicData>
            </a:graphic>
          </wp:inline>
        </w:drawing>
      </w:r>
    </w:p>
    <w:p w:rsidR="00A5634A" w:rsidRDefault="00A5634A" w:rsidP="00A5634A">
      <w:pPr>
        <w:ind w:left="426"/>
        <w:rPr>
          <w:szCs w:val="22"/>
        </w:rPr>
      </w:pPr>
    </w:p>
    <w:p w:rsidR="0011642A" w:rsidRDefault="00E31F2A" w:rsidP="00E31F2A">
      <w:pPr>
        <w:ind w:left="709" w:hanging="709"/>
        <w:rPr>
          <w:szCs w:val="22"/>
        </w:rPr>
      </w:pPr>
      <w:r>
        <w:rPr>
          <w:szCs w:val="22"/>
        </w:rPr>
        <w:t>7.5</w:t>
      </w:r>
      <w:r>
        <w:rPr>
          <w:szCs w:val="22"/>
        </w:rPr>
        <w:tab/>
      </w:r>
      <w:r w:rsidR="0011642A">
        <w:rPr>
          <w:szCs w:val="22"/>
        </w:rPr>
        <w:t>All investments complied with council policy and were within the approved maximum limits.</w:t>
      </w:r>
    </w:p>
    <w:p w:rsidR="0011642A" w:rsidRDefault="0011642A" w:rsidP="00A5634A">
      <w:pPr>
        <w:ind w:left="426"/>
        <w:rPr>
          <w:szCs w:val="22"/>
        </w:rPr>
      </w:pPr>
    </w:p>
    <w:p w:rsidR="0011642A" w:rsidRDefault="00E31F2A" w:rsidP="00E31F2A">
      <w:pPr>
        <w:ind w:left="709" w:hanging="709"/>
        <w:rPr>
          <w:szCs w:val="22"/>
        </w:rPr>
      </w:pPr>
      <w:r>
        <w:rPr>
          <w:szCs w:val="22"/>
        </w:rPr>
        <w:t>7.6</w:t>
      </w:r>
      <w:r>
        <w:rPr>
          <w:szCs w:val="22"/>
        </w:rPr>
        <w:tab/>
      </w:r>
      <w:r w:rsidR="000604CA">
        <w:rPr>
          <w:szCs w:val="22"/>
        </w:rPr>
        <w:t>So far this year, fewer UK local authorities have been willing to take term deposits. When deposits with local authorities have matured, it has sometimes proven necessary to reinvest the cash with other counterparties. If this trend continues, it could become difficult to avoid use of the DMO’s DMADF, which pays a low</w:t>
      </w:r>
      <w:r w:rsidR="00677ED0">
        <w:rPr>
          <w:szCs w:val="22"/>
        </w:rPr>
        <w:t>er</w:t>
      </w:r>
      <w:r w:rsidR="000604CA">
        <w:rPr>
          <w:szCs w:val="22"/>
        </w:rPr>
        <w:t xml:space="preserve"> rate of interest</w:t>
      </w:r>
      <w:r w:rsidR="00677ED0">
        <w:rPr>
          <w:szCs w:val="22"/>
        </w:rPr>
        <w:t xml:space="preserve"> than usually offered by other counterparties for term deposits.</w:t>
      </w:r>
      <w:r w:rsidR="005C2E95">
        <w:rPr>
          <w:szCs w:val="22"/>
        </w:rPr>
        <w:t xml:space="preserve"> The latest indicative interest rates available for the DMADF show that a maximum of 0.45% can be earned on deposits for six months, compared to the average of 0.65% achieved in the year to date for term deposits.</w:t>
      </w:r>
    </w:p>
    <w:p w:rsidR="000604CA" w:rsidRDefault="000604CA" w:rsidP="00A5634A">
      <w:pPr>
        <w:ind w:left="426"/>
        <w:rPr>
          <w:szCs w:val="22"/>
        </w:rPr>
      </w:pPr>
    </w:p>
    <w:p w:rsidR="000604CA" w:rsidRDefault="00E31F2A" w:rsidP="00E31F2A">
      <w:pPr>
        <w:ind w:left="709" w:hanging="709"/>
        <w:rPr>
          <w:szCs w:val="22"/>
        </w:rPr>
      </w:pPr>
      <w:r>
        <w:rPr>
          <w:szCs w:val="22"/>
        </w:rPr>
        <w:t>7.7</w:t>
      </w:r>
      <w:r>
        <w:rPr>
          <w:szCs w:val="22"/>
        </w:rPr>
        <w:tab/>
      </w:r>
      <w:r w:rsidR="00677ED0">
        <w:rPr>
          <w:szCs w:val="22"/>
        </w:rPr>
        <w:t>Officers will aim to avoid use of the DMADF by using additional counterparties permitted by the approved investment strategy. Currently the council uses three money market funds – BlackRock, Federated and Standard Life – but other suitable MMFs are available. Brokers will be consulted to identify suitable UK banks not currently used which will take deposits of £5m or less, as permitted by the approved strategy.</w:t>
      </w:r>
    </w:p>
    <w:p w:rsidR="00FD22FD" w:rsidRDefault="00FD22FD" w:rsidP="00A5634A">
      <w:pPr>
        <w:ind w:left="426"/>
        <w:rPr>
          <w:szCs w:val="22"/>
        </w:rPr>
      </w:pPr>
    </w:p>
    <w:p w:rsidR="00FD22FD" w:rsidRDefault="00E31F2A" w:rsidP="00E31F2A">
      <w:pPr>
        <w:ind w:left="709" w:hanging="709"/>
        <w:rPr>
          <w:szCs w:val="22"/>
        </w:rPr>
      </w:pPr>
      <w:r>
        <w:rPr>
          <w:szCs w:val="22"/>
        </w:rPr>
        <w:t>7.8</w:t>
      </w:r>
      <w:r>
        <w:rPr>
          <w:szCs w:val="22"/>
        </w:rPr>
        <w:tab/>
      </w:r>
      <w:r w:rsidR="00FD22FD">
        <w:rPr>
          <w:szCs w:val="22"/>
        </w:rPr>
        <w:t>Use of existing and new MMFs will need to take account of the European Union MMF reforms which will become effective from 21 January 2019. Our treasury advisors, Link Asset Services, will continue to provide advice in respect of the impact of the reforms.</w:t>
      </w:r>
    </w:p>
    <w:p w:rsidR="006F450B" w:rsidRDefault="006F450B" w:rsidP="00A5634A">
      <w:pPr>
        <w:ind w:left="426"/>
        <w:rPr>
          <w:szCs w:val="22"/>
        </w:rPr>
      </w:pPr>
    </w:p>
    <w:p w:rsidR="006F450B" w:rsidRDefault="00E31F2A" w:rsidP="00E31F2A">
      <w:pPr>
        <w:ind w:left="709" w:hanging="709"/>
        <w:rPr>
          <w:szCs w:val="22"/>
        </w:rPr>
      </w:pPr>
      <w:r>
        <w:rPr>
          <w:szCs w:val="22"/>
        </w:rPr>
        <w:t>7.9</w:t>
      </w:r>
      <w:r>
        <w:rPr>
          <w:szCs w:val="22"/>
        </w:rPr>
        <w:tab/>
      </w:r>
      <w:r w:rsidR="006F450B">
        <w:rPr>
          <w:szCs w:val="22"/>
        </w:rPr>
        <w:t>In Appendix E, Link Asset Services present a detailed economic commentary on developments during the first quarter of 2018/19, provided to them by Capital Economics. Appendix F is Link’s detailed commentary on interest rate forecasts. An increase in bank rate to 0.75% is expected before the end of 2018, though the rate is expected to match previous forecasts only during 2021 when it could reach 1.50%.</w:t>
      </w:r>
    </w:p>
    <w:p w:rsidR="00A5634A" w:rsidRPr="00F31C99" w:rsidRDefault="00A5634A" w:rsidP="00A5634A">
      <w:pPr>
        <w:ind w:left="426"/>
        <w:rPr>
          <w:szCs w:val="22"/>
        </w:rPr>
      </w:pPr>
    </w:p>
    <w:p w:rsidR="002F5C5E" w:rsidRPr="00792A2B" w:rsidRDefault="002F5C5E" w:rsidP="002F5C5E">
      <w:pPr>
        <w:rPr>
          <w:b/>
          <w:szCs w:val="22"/>
        </w:rPr>
      </w:pPr>
    </w:p>
    <w:p w:rsidR="001938D6" w:rsidRPr="00792A2B" w:rsidRDefault="0075776F" w:rsidP="002F5C5E">
      <w:pPr>
        <w:rPr>
          <w:b/>
          <w:szCs w:val="22"/>
        </w:rPr>
      </w:pPr>
      <w:r>
        <w:rPr>
          <w:b/>
          <w:szCs w:val="22"/>
        </w:rPr>
        <w:t>8</w:t>
      </w:r>
      <w:r w:rsidR="002F5C5E" w:rsidRPr="00792A2B">
        <w:rPr>
          <w:b/>
          <w:szCs w:val="22"/>
        </w:rPr>
        <w:t xml:space="preserve">.   </w:t>
      </w:r>
      <w:r w:rsidR="001938D6" w:rsidRPr="00792A2B">
        <w:rPr>
          <w:b/>
          <w:szCs w:val="22"/>
        </w:rPr>
        <w:t xml:space="preserve">CONSULTATION CARRIED OUT AND OUTCOME OF CONSULTATION </w:t>
      </w:r>
    </w:p>
    <w:p w:rsidR="001938D6" w:rsidRPr="00792A2B" w:rsidRDefault="001938D6" w:rsidP="002F5C5E">
      <w:pPr>
        <w:rPr>
          <w:b/>
          <w:szCs w:val="22"/>
        </w:rPr>
      </w:pPr>
    </w:p>
    <w:p w:rsidR="001938D6" w:rsidRPr="00792A2B" w:rsidRDefault="00E31F2A" w:rsidP="00E31F2A">
      <w:pPr>
        <w:ind w:left="709" w:hanging="709"/>
        <w:rPr>
          <w:rFonts w:cs="Arial"/>
          <w:i/>
          <w:color w:val="2E74B5"/>
        </w:rPr>
      </w:pPr>
      <w:r>
        <w:rPr>
          <w:szCs w:val="22"/>
        </w:rPr>
        <w:t>8.1</w:t>
      </w:r>
      <w:r>
        <w:rPr>
          <w:szCs w:val="22"/>
        </w:rPr>
        <w:tab/>
      </w:r>
      <w:r w:rsidR="00677ED0">
        <w:rPr>
          <w:szCs w:val="22"/>
        </w:rPr>
        <w:t>No consultation has been undertaken in preparing this report.</w:t>
      </w:r>
    </w:p>
    <w:p w:rsidR="00F43895" w:rsidRPr="00792A2B" w:rsidRDefault="00F43895" w:rsidP="002F5C5E">
      <w:pPr>
        <w:rPr>
          <w:rFonts w:cs="Arial"/>
          <w:i/>
          <w:color w:val="2E74B5"/>
        </w:rPr>
      </w:pPr>
    </w:p>
    <w:p w:rsidR="00F43895" w:rsidRPr="00792A2B" w:rsidRDefault="0075776F" w:rsidP="00F43895">
      <w:pPr>
        <w:rPr>
          <w:b/>
          <w:szCs w:val="22"/>
        </w:rPr>
      </w:pPr>
      <w:r>
        <w:rPr>
          <w:b/>
          <w:szCs w:val="22"/>
        </w:rPr>
        <w:t>9</w:t>
      </w:r>
      <w:r w:rsidR="00F43895" w:rsidRPr="00792A2B">
        <w:rPr>
          <w:b/>
          <w:szCs w:val="22"/>
        </w:rPr>
        <w:t xml:space="preserve">.    </w:t>
      </w:r>
      <w:r w:rsidR="00F43895" w:rsidRPr="00792A2B">
        <w:rPr>
          <w:rFonts w:cs="Arial"/>
          <w:b/>
          <w:caps/>
        </w:rPr>
        <w:t>Financial implications</w:t>
      </w:r>
    </w:p>
    <w:p w:rsidR="00F43895" w:rsidRPr="00792A2B" w:rsidRDefault="00F43895" w:rsidP="00F43895">
      <w:pPr>
        <w:ind w:left="567"/>
        <w:rPr>
          <w:rFonts w:cs="Arial"/>
          <w:b/>
          <w:caps/>
        </w:rPr>
      </w:pPr>
    </w:p>
    <w:p w:rsidR="00F43895" w:rsidRPr="00792A2B" w:rsidRDefault="00E31F2A" w:rsidP="00E31F2A">
      <w:pPr>
        <w:ind w:left="709" w:hanging="709"/>
        <w:rPr>
          <w:rFonts w:cs="Arial"/>
          <w:caps/>
          <w:color w:val="2E74B5"/>
        </w:rPr>
      </w:pPr>
      <w:r w:rsidRPr="00E31F2A">
        <w:rPr>
          <w:szCs w:val="22"/>
        </w:rPr>
        <w:t>9.1</w:t>
      </w:r>
      <w:r>
        <w:rPr>
          <w:szCs w:val="22"/>
        </w:rPr>
        <w:tab/>
      </w:r>
      <w:r w:rsidR="00677ED0">
        <w:rPr>
          <w:szCs w:val="22"/>
        </w:rPr>
        <w:t xml:space="preserve">There are no direct financial implications arising as a result of this report. </w:t>
      </w:r>
    </w:p>
    <w:p w:rsidR="00F43895" w:rsidRDefault="00F43895" w:rsidP="00F43895">
      <w:pPr>
        <w:rPr>
          <w:rFonts w:cs="Arial"/>
          <w:b/>
          <w:color w:val="2E74B5"/>
        </w:rPr>
      </w:pPr>
    </w:p>
    <w:p w:rsidR="00584451" w:rsidRPr="00792A2B" w:rsidRDefault="00584451" w:rsidP="00F43895">
      <w:pPr>
        <w:rPr>
          <w:rFonts w:cs="Arial"/>
          <w:b/>
          <w:color w:val="2E74B5"/>
        </w:rPr>
      </w:pPr>
    </w:p>
    <w:p w:rsidR="00F43895" w:rsidRPr="00792A2B" w:rsidRDefault="0075776F" w:rsidP="00F43895">
      <w:pPr>
        <w:rPr>
          <w:rFonts w:cs="Arial"/>
          <w:b/>
          <w:caps/>
        </w:rPr>
      </w:pPr>
      <w:r>
        <w:rPr>
          <w:rFonts w:cs="Arial"/>
          <w:b/>
          <w:caps/>
        </w:rPr>
        <w:t>10</w:t>
      </w:r>
      <w:r w:rsidR="00F43895" w:rsidRPr="00792A2B">
        <w:rPr>
          <w:rFonts w:cs="Arial"/>
          <w:b/>
          <w:caps/>
        </w:rPr>
        <w:t>.    LEGAL IMPLICATIONS</w:t>
      </w:r>
    </w:p>
    <w:p w:rsidR="00F43895" w:rsidRPr="00792A2B" w:rsidRDefault="00F43895" w:rsidP="00F43895">
      <w:pPr>
        <w:rPr>
          <w:rFonts w:cs="Arial"/>
          <w:b/>
          <w:caps/>
        </w:rPr>
      </w:pPr>
    </w:p>
    <w:p w:rsidR="00F43895" w:rsidRPr="00677ED0" w:rsidRDefault="00E31F2A" w:rsidP="00E31F2A">
      <w:pPr>
        <w:ind w:left="709" w:hanging="709"/>
        <w:rPr>
          <w:szCs w:val="22"/>
        </w:rPr>
      </w:pPr>
      <w:r>
        <w:rPr>
          <w:szCs w:val="22"/>
        </w:rPr>
        <w:t>10.1</w:t>
      </w:r>
      <w:r>
        <w:rPr>
          <w:szCs w:val="22"/>
        </w:rPr>
        <w:tab/>
      </w:r>
      <w:r w:rsidR="00677ED0">
        <w:rPr>
          <w:szCs w:val="22"/>
        </w:rPr>
        <w:t>Presentation of this report is required to comply with the CIPFA Code of Practice on Treasury Management in the Public Services (2017 edition).</w:t>
      </w:r>
    </w:p>
    <w:p w:rsidR="00F43895" w:rsidRDefault="00F43895" w:rsidP="00F43895">
      <w:pPr>
        <w:rPr>
          <w:rFonts w:cs="Arial"/>
          <w:b/>
          <w:caps/>
        </w:rPr>
      </w:pPr>
    </w:p>
    <w:p w:rsidR="00584451" w:rsidRPr="00792A2B" w:rsidRDefault="00584451" w:rsidP="00F43895">
      <w:pPr>
        <w:rPr>
          <w:rFonts w:cs="Arial"/>
          <w:b/>
          <w:caps/>
        </w:rPr>
      </w:pPr>
    </w:p>
    <w:p w:rsidR="00F43895" w:rsidRPr="00792A2B" w:rsidRDefault="0075776F" w:rsidP="00F43895">
      <w:pPr>
        <w:rPr>
          <w:rFonts w:cs="Arial"/>
          <w:b/>
        </w:rPr>
      </w:pPr>
      <w:r>
        <w:rPr>
          <w:rFonts w:cs="Arial"/>
          <w:b/>
        </w:rPr>
        <w:t>11</w:t>
      </w:r>
      <w:r w:rsidR="00F43895" w:rsidRPr="00792A2B">
        <w:rPr>
          <w:rFonts w:cs="Arial"/>
          <w:b/>
        </w:rPr>
        <w:t>.  COMMENTS OF THE STATUTORY FINANCE OFFICER</w:t>
      </w:r>
    </w:p>
    <w:p w:rsidR="00BE2A3F" w:rsidRPr="00792A2B" w:rsidRDefault="00BE2A3F" w:rsidP="00F43895">
      <w:pPr>
        <w:rPr>
          <w:rFonts w:cs="Arial"/>
          <w:b/>
        </w:rPr>
      </w:pPr>
    </w:p>
    <w:p w:rsidR="00BE2A3F" w:rsidRPr="00677ED0" w:rsidRDefault="00E31F2A" w:rsidP="00E31F2A">
      <w:pPr>
        <w:ind w:left="709" w:hanging="709"/>
        <w:rPr>
          <w:szCs w:val="22"/>
        </w:rPr>
      </w:pPr>
      <w:r>
        <w:rPr>
          <w:szCs w:val="22"/>
        </w:rPr>
        <w:t>11.1</w:t>
      </w:r>
      <w:r>
        <w:rPr>
          <w:szCs w:val="22"/>
        </w:rPr>
        <w:tab/>
      </w:r>
      <w:r w:rsidR="00677ED0">
        <w:rPr>
          <w:szCs w:val="22"/>
        </w:rPr>
        <w:t xml:space="preserve">All financial implications in respect of Treasury Management activity arise </w:t>
      </w:r>
      <w:r w:rsidR="006456FA">
        <w:rPr>
          <w:szCs w:val="22"/>
        </w:rPr>
        <w:t>as a result of the annual Treasury Strategies for 2017/18 and 2018/19, previously approved by council. This report presents details of actual performance as a result of implementing the approved strategies.</w:t>
      </w:r>
    </w:p>
    <w:p w:rsidR="00F43895" w:rsidRDefault="00F43895" w:rsidP="00F43895">
      <w:pPr>
        <w:rPr>
          <w:rFonts w:cs="Arial"/>
          <w:b/>
        </w:rPr>
      </w:pPr>
    </w:p>
    <w:p w:rsidR="00584451" w:rsidRPr="00584451" w:rsidRDefault="00584451" w:rsidP="00F43895">
      <w:pPr>
        <w:rPr>
          <w:rFonts w:cs="Arial"/>
          <w:b/>
        </w:rPr>
      </w:pPr>
    </w:p>
    <w:p w:rsidR="00F43895" w:rsidRPr="00792A2B" w:rsidRDefault="0075776F" w:rsidP="00BE2A3F">
      <w:pPr>
        <w:rPr>
          <w:rFonts w:cs="Arial"/>
          <w:b/>
        </w:rPr>
      </w:pPr>
      <w:r>
        <w:rPr>
          <w:rFonts w:cs="Arial"/>
          <w:b/>
        </w:rPr>
        <w:t>12</w:t>
      </w:r>
      <w:r w:rsidR="00BE2A3F" w:rsidRPr="00792A2B">
        <w:rPr>
          <w:rFonts w:cs="Arial"/>
          <w:b/>
        </w:rPr>
        <w:t xml:space="preserve">.  </w:t>
      </w:r>
      <w:r w:rsidR="00F43895" w:rsidRPr="00792A2B">
        <w:rPr>
          <w:rFonts w:cs="Arial"/>
          <w:b/>
        </w:rPr>
        <w:t>COMMENTS OF THE MONITORING OFFICER</w:t>
      </w:r>
    </w:p>
    <w:p w:rsidR="00F43895" w:rsidRPr="00792A2B" w:rsidRDefault="00F43895" w:rsidP="00F43895">
      <w:pPr>
        <w:ind w:left="567"/>
        <w:rPr>
          <w:rFonts w:cs="Arial"/>
          <w:b/>
        </w:rPr>
      </w:pPr>
    </w:p>
    <w:p w:rsidR="00F43895" w:rsidRPr="006456FA" w:rsidRDefault="00E31F2A" w:rsidP="00E31F2A">
      <w:pPr>
        <w:ind w:left="709" w:hanging="709"/>
        <w:rPr>
          <w:szCs w:val="22"/>
        </w:rPr>
      </w:pPr>
      <w:r>
        <w:rPr>
          <w:szCs w:val="22"/>
        </w:rPr>
        <w:t>12.1</w:t>
      </w:r>
      <w:r>
        <w:rPr>
          <w:szCs w:val="22"/>
        </w:rPr>
        <w:tab/>
      </w:r>
      <w:r w:rsidR="006456FA">
        <w:rPr>
          <w:szCs w:val="22"/>
        </w:rPr>
        <w:t>Please see the Legal Implication section above.</w:t>
      </w:r>
    </w:p>
    <w:p w:rsidR="002F5C5E" w:rsidRDefault="002F5C5E" w:rsidP="002F5C5E">
      <w:pPr>
        <w:rPr>
          <w:b/>
          <w:strike/>
          <w:szCs w:val="22"/>
        </w:rPr>
      </w:pPr>
    </w:p>
    <w:p w:rsidR="00584451" w:rsidRPr="00792A2B" w:rsidRDefault="00584451" w:rsidP="002F5C5E">
      <w:pPr>
        <w:rPr>
          <w:b/>
          <w:strike/>
          <w:szCs w:val="22"/>
        </w:rPr>
      </w:pPr>
    </w:p>
    <w:p w:rsidR="000B5251" w:rsidRPr="00792A2B" w:rsidRDefault="0075776F" w:rsidP="000B5251">
      <w:pPr>
        <w:rPr>
          <w:b/>
          <w:szCs w:val="22"/>
        </w:rPr>
      </w:pPr>
      <w:r>
        <w:rPr>
          <w:b/>
          <w:szCs w:val="22"/>
        </w:rPr>
        <w:t>13</w:t>
      </w:r>
      <w:r w:rsidR="000B5251" w:rsidRPr="00792A2B">
        <w:rPr>
          <w:b/>
          <w:szCs w:val="22"/>
        </w:rPr>
        <w:t xml:space="preserve">. OTHER IMPLICATIONS: </w:t>
      </w:r>
    </w:p>
    <w:p w:rsidR="003C36EB" w:rsidRPr="00792A2B" w:rsidRDefault="003C36EB" w:rsidP="000B5251">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5C5E" w:rsidRPr="009C1143" w:rsidTr="009C1143">
        <w:trPr>
          <w:trHeight w:val="334"/>
        </w:trPr>
        <w:tc>
          <w:tcPr>
            <w:tcW w:w="3544" w:type="dxa"/>
            <w:shd w:val="clear" w:color="auto" w:fill="auto"/>
          </w:tcPr>
          <w:p w:rsidR="002F5C5E" w:rsidRPr="00792A2B" w:rsidRDefault="002F5C5E" w:rsidP="00AC4A99">
            <w:pPr>
              <w:rPr>
                <w:b/>
                <w:szCs w:val="22"/>
              </w:rPr>
            </w:pPr>
          </w:p>
          <w:p w:rsidR="00A56681" w:rsidRPr="00792A2B" w:rsidRDefault="00A56681" w:rsidP="00A56681">
            <w:pPr>
              <w:numPr>
                <w:ilvl w:val="0"/>
                <w:numId w:val="11"/>
              </w:numPr>
              <w:ind w:left="360"/>
              <w:rPr>
                <w:b/>
                <w:szCs w:val="22"/>
              </w:rPr>
            </w:pPr>
            <w:r w:rsidRPr="00792A2B">
              <w:rPr>
                <w:b/>
                <w:szCs w:val="22"/>
              </w:rPr>
              <w:t xml:space="preserve">HR &amp; Organisational Development </w:t>
            </w:r>
          </w:p>
          <w:p w:rsidR="00A56681" w:rsidRPr="00792A2B" w:rsidRDefault="00A56681" w:rsidP="00A56681">
            <w:pPr>
              <w:ind w:left="360"/>
              <w:rPr>
                <w:b/>
                <w:szCs w:val="22"/>
              </w:rPr>
            </w:pPr>
          </w:p>
          <w:p w:rsidR="00A56681" w:rsidRPr="00792A2B" w:rsidRDefault="00A56681" w:rsidP="00A56681">
            <w:pPr>
              <w:numPr>
                <w:ilvl w:val="0"/>
                <w:numId w:val="11"/>
              </w:numPr>
              <w:ind w:left="360"/>
              <w:rPr>
                <w:b/>
                <w:szCs w:val="22"/>
              </w:rPr>
            </w:pPr>
            <w:r w:rsidRPr="00792A2B">
              <w:rPr>
                <w:b/>
                <w:szCs w:val="22"/>
              </w:rPr>
              <w:t>ICT / Technology</w:t>
            </w:r>
          </w:p>
          <w:p w:rsidR="002F5C5E" w:rsidRPr="00792A2B" w:rsidRDefault="002F5C5E" w:rsidP="00A56681">
            <w:pPr>
              <w:ind w:left="360"/>
              <w:rPr>
                <w:b/>
                <w:szCs w:val="22"/>
              </w:rPr>
            </w:pPr>
          </w:p>
          <w:p w:rsidR="002F5C5E" w:rsidRPr="00792A2B" w:rsidRDefault="002F5C5E" w:rsidP="0047741D">
            <w:pPr>
              <w:rPr>
                <w:b/>
                <w:szCs w:val="22"/>
              </w:rPr>
            </w:pPr>
          </w:p>
          <w:p w:rsidR="00A56681" w:rsidRPr="00792A2B" w:rsidRDefault="00A56681" w:rsidP="00A56681">
            <w:pPr>
              <w:numPr>
                <w:ilvl w:val="0"/>
                <w:numId w:val="11"/>
              </w:numPr>
              <w:ind w:left="360"/>
              <w:rPr>
                <w:b/>
                <w:szCs w:val="22"/>
              </w:rPr>
            </w:pPr>
            <w:r w:rsidRPr="00792A2B">
              <w:rPr>
                <w:b/>
                <w:szCs w:val="22"/>
              </w:rPr>
              <w:t>Property &amp; Asset Management</w:t>
            </w:r>
          </w:p>
          <w:p w:rsidR="00A56681" w:rsidRPr="00792A2B" w:rsidRDefault="00A56681" w:rsidP="00A56681">
            <w:pPr>
              <w:ind w:left="360"/>
              <w:rPr>
                <w:b/>
                <w:szCs w:val="22"/>
              </w:rPr>
            </w:pPr>
          </w:p>
          <w:p w:rsidR="002F5C5E" w:rsidRPr="00792A2B" w:rsidRDefault="00A56681" w:rsidP="0047741D">
            <w:pPr>
              <w:numPr>
                <w:ilvl w:val="0"/>
                <w:numId w:val="11"/>
              </w:numPr>
              <w:ind w:left="360"/>
              <w:rPr>
                <w:b/>
                <w:szCs w:val="22"/>
              </w:rPr>
            </w:pPr>
            <w:r w:rsidRPr="00792A2B">
              <w:rPr>
                <w:b/>
                <w:szCs w:val="22"/>
              </w:rPr>
              <w:t xml:space="preserve">Risk </w:t>
            </w:r>
          </w:p>
          <w:p w:rsidR="003C36EB" w:rsidRDefault="003C36EB" w:rsidP="0047741D">
            <w:pPr>
              <w:rPr>
                <w:b/>
                <w:szCs w:val="22"/>
              </w:rPr>
            </w:pPr>
          </w:p>
          <w:p w:rsidR="008A7FAA" w:rsidRPr="00792A2B" w:rsidRDefault="008A7FAA" w:rsidP="0047741D">
            <w:pPr>
              <w:rPr>
                <w:b/>
                <w:szCs w:val="22"/>
              </w:rPr>
            </w:pPr>
          </w:p>
          <w:p w:rsidR="002F5C5E" w:rsidRPr="00792A2B" w:rsidRDefault="00A56681" w:rsidP="00A56681">
            <w:pPr>
              <w:numPr>
                <w:ilvl w:val="0"/>
                <w:numId w:val="11"/>
              </w:numPr>
              <w:ind w:left="360"/>
              <w:rPr>
                <w:b/>
                <w:szCs w:val="22"/>
              </w:rPr>
            </w:pPr>
            <w:r w:rsidRPr="00792A2B">
              <w:rPr>
                <w:b/>
                <w:szCs w:val="22"/>
              </w:rPr>
              <w:t xml:space="preserve">Equality &amp; Diversity </w:t>
            </w:r>
          </w:p>
          <w:p w:rsidR="002F5C5E" w:rsidRPr="00792A2B" w:rsidRDefault="002F5C5E" w:rsidP="006456FA">
            <w:pPr>
              <w:rPr>
                <w:szCs w:val="22"/>
              </w:rPr>
            </w:pPr>
          </w:p>
        </w:tc>
        <w:tc>
          <w:tcPr>
            <w:tcW w:w="6379" w:type="dxa"/>
            <w:shd w:val="clear" w:color="auto" w:fill="auto"/>
          </w:tcPr>
          <w:p w:rsidR="002F5C5E" w:rsidRPr="00792A2B" w:rsidRDefault="002F5C5E" w:rsidP="00AC4A99">
            <w:pPr>
              <w:rPr>
                <w:szCs w:val="22"/>
              </w:rPr>
            </w:pPr>
          </w:p>
          <w:p w:rsidR="00F43895" w:rsidRPr="00792A2B" w:rsidRDefault="00F43895" w:rsidP="00AC4A99">
            <w:pPr>
              <w:rPr>
                <w:i/>
                <w:color w:val="2E74B5" w:themeColor="accent1" w:themeShade="BF"/>
                <w:szCs w:val="22"/>
              </w:rPr>
            </w:pPr>
          </w:p>
          <w:p w:rsidR="00A56681" w:rsidRPr="00792A2B" w:rsidRDefault="00A56681" w:rsidP="00AC4A99">
            <w:pPr>
              <w:rPr>
                <w:i/>
                <w:color w:val="2E74B5"/>
                <w:szCs w:val="22"/>
              </w:rPr>
            </w:pPr>
          </w:p>
          <w:p w:rsidR="00F43895" w:rsidRDefault="00F43895" w:rsidP="00AC4A99">
            <w:pPr>
              <w:rPr>
                <w:i/>
                <w:color w:val="2E74B5" w:themeColor="accent1" w:themeShade="BF"/>
                <w:szCs w:val="22"/>
              </w:rPr>
            </w:pPr>
          </w:p>
          <w:p w:rsidR="006456FA" w:rsidRDefault="006456FA" w:rsidP="00AC4A99">
            <w:pPr>
              <w:rPr>
                <w:i/>
                <w:color w:val="2E74B5" w:themeColor="accent1" w:themeShade="BF"/>
                <w:szCs w:val="22"/>
              </w:rPr>
            </w:pPr>
          </w:p>
          <w:p w:rsidR="006456FA" w:rsidRDefault="006456FA" w:rsidP="00AC4A99">
            <w:pPr>
              <w:rPr>
                <w:i/>
                <w:color w:val="2E74B5" w:themeColor="accent1" w:themeShade="BF"/>
                <w:szCs w:val="22"/>
              </w:rPr>
            </w:pPr>
          </w:p>
          <w:p w:rsidR="006456FA" w:rsidRDefault="006456FA" w:rsidP="00AC4A99">
            <w:pPr>
              <w:rPr>
                <w:i/>
                <w:color w:val="2E74B5" w:themeColor="accent1" w:themeShade="BF"/>
                <w:szCs w:val="22"/>
              </w:rPr>
            </w:pPr>
          </w:p>
          <w:p w:rsidR="006456FA" w:rsidRDefault="006456FA" w:rsidP="00AC4A99">
            <w:pPr>
              <w:rPr>
                <w:i/>
                <w:color w:val="2E74B5" w:themeColor="accent1" w:themeShade="BF"/>
                <w:szCs w:val="22"/>
              </w:rPr>
            </w:pPr>
          </w:p>
          <w:p w:rsidR="006456FA" w:rsidRDefault="006456FA" w:rsidP="00AC4A99">
            <w:pPr>
              <w:rPr>
                <w:i/>
                <w:color w:val="2E74B5" w:themeColor="accent1" w:themeShade="BF"/>
                <w:szCs w:val="22"/>
              </w:rPr>
            </w:pPr>
          </w:p>
          <w:p w:rsidR="006456FA" w:rsidRDefault="006456FA" w:rsidP="00AC4A99">
            <w:pPr>
              <w:rPr>
                <w:i/>
                <w:color w:val="2E74B5" w:themeColor="accent1" w:themeShade="BF"/>
                <w:szCs w:val="22"/>
              </w:rPr>
            </w:pPr>
          </w:p>
          <w:p w:rsidR="006456FA" w:rsidRPr="006456FA" w:rsidRDefault="008A7FAA" w:rsidP="00AC4A99">
            <w:pPr>
              <w:rPr>
                <w:color w:val="2E74B5" w:themeColor="accent1" w:themeShade="BF"/>
                <w:szCs w:val="22"/>
              </w:rPr>
            </w:pPr>
            <w:r w:rsidRPr="008A7FAA">
              <w:rPr>
                <w:rFonts w:cs="Arial"/>
                <w:color w:val="000000" w:themeColor="text1"/>
              </w:rPr>
              <w:t xml:space="preserve">The </w:t>
            </w:r>
            <w:r>
              <w:rPr>
                <w:rFonts w:cs="Arial"/>
                <w:color w:val="000000" w:themeColor="text1"/>
              </w:rPr>
              <w:t>Treasury Strategy sets limits on investments in order to manage risks.</w:t>
            </w:r>
          </w:p>
        </w:tc>
      </w:tr>
    </w:tbl>
    <w:p w:rsidR="0075776F" w:rsidRDefault="0075776F" w:rsidP="002F5C5E">
      <w:pPr>
        <w:rPr>
          <w:b/>
          <w:szCs w:val="22"/>
        </w:rPr>
      </w:pPr>
    </w:p>
    <w:p w:rsidR="00584451" w:rsidRDefault="00584451" w:rsidP="002F5C5E">
      <w:pPr>
        <w:rPr>
          <w:b/>
          <w:szCs w:val="22"/>
        </w:rPr>
      </w:pPr>
    </w:p>
    <w:p w:rsidR="002F5C5E" w:rsidRDefault="0075776F" w:rsidP="002F5C5E">
      <w:pPr>
        <w:rPr>
          <w:b/>
          <w:szCs w:val="22"/>
        </w:rPr>
      </w:pPr>
      <w:r>
        <w:rPr>
          <w:b/>
          <w:szCs w:val="22"/>
        </w:rPr>
        <w:t>14</w:t>
      </w:r>
      <w:r w:rsidR="008A7FAA">
        <w:rPr>
          <w:b/>
          <w:szCs w:val="22"/>
        </w:rPr>
        <w:t>. BACKGROUND DOCUMENTS</w:t>
      </w:r>
    </w:p>
    <w:p w:rsidR="000B5251" w:rsidRPr="009C1143" w:rsidRDefault="000B5251" w:rsidP="002F5C5E">
      <w:pPr>
        <w:rPr>
          <w:szCs w:val="22"/>
        </w:rPr>
      </w:pPr>
    </w:p>
    <w:p w:rsidR="002F5C5E" w:rsidRDefault="000200DE" w:rsidP="000B5251">
      <w:pPr>
        <w:rPr>
          <w:szCs w:val="22"/>
        </w:rPr>
      </w:pPr>
      <w:r>
        <w:rPr>
          <w:szCs w:val="22"/>
        </w:rPr>
        <w:t>Treasury Strategy 2017/18 to 2019/20</w:t>
      </w:r>
      <w:r>
        <w:rPr>
          <w:szCs w:val="22"/>
        </w:rPr>
        <w:tab/>
      </w:r>
      <w:r>
        <w:rPr>
          <w:szCs w:val="22"/>
        </w:rPr>
        <w:tab/>
      </w:r>
      <w:r>
        <w:rPr>
          <w:szCs w:val="22"/>
        </w:rPr>
        <w:tab/>
        <w:t>(Council 1/3/17)</w:t>
      </w:r>
    </w:p>
    <w:p w:rsidR="000200DE" w:rsidRDefault="000200DE" w:rsidP="000B5251">
      <w:pPr>
        <w:rPr>
          <w:szCs w:val="22"/>
        </w:rPr>
      </w:pPr>
      <w:r>
        <w:rPr>
          <w:szCs w:val="22"/>
        </w:rPr>
        <w:t>Treasury Management Activity Mid-year Review 2017/18</w:t>
      </w:r>
      <w:r>
        <w:rPr>
          <w:szCs w:val="22"/>
        </w:rPr>
        <w:tab/>
        <w:t>(Governance Committee 13/9/17)</w:t>
      </w:r>
    </w:p>
    <w:p w:rsidR="000200DE" w:rsidRDefault="000200DE" w:rsidP="000B5251">
      <w:pPr>
        <w:rPr>
          <w:szCs w:val="22"/>
        </w:rPr>
      </w:pPr>
      <w:r>
        <w:rPr>
          <w:szCs w:val="22"/>
        </w:rPr>
        <w:t>Treasury Management Activity 2017/18 – update</w:t>
      </w:r>
      <w:r>
        <w:rPr>
          <w:szCs w:val="22"/>
        </w:rPr>
        <w:tab/>
      </w:r>
      <w:r>
        <w:rPr>
          <w:szCs w:val="22"/>
        </w:rPr>
        <w:tab/>
        <w:t>(Governance Committee 31/1/18)</w:t>
      </w:r>
    </w:p>
    <w:p w:rsidR="000200DE" w:rsidRPr="000200DE" w:rsidRDefault="000200DE" w:rsidP="000B5251">
      <w:pPr>
        <w:rPr>
          <w:szCs w:val="22"/>
        </w:rPr>
      </w:pPr>
      <w:r>
        <w:rPr>
          <w:szCs w:val="22"/>
        </w:rPr>
        <w:t>Treasury Strategy 2018/19 to 2022/23</w:t>
      </w:r>
      <w:r>
        <w:rPr>
          <w:szCs w:val="22"/>
        </w:rPr>
        <w:tab/>
      </w:r>
      <w:r>
        <w:rPr>
          <w:szCs w:val="22"/>
        </w:rPr>
        <w:tab/>
      </w:r>
      <w:r>
        <w:rPr>
          <w:szCs w:val="22"/>
        </w:rPr>
        <w:tab/>
        <w:t>(Council 28/2/18)</w:t>
      </w:r>
    </w:p>
    <w:p w:rsidR="000B5251" w:rsidRPr="000200DE" w:rsidRDefault="000B5251" w:rsidP="000B5251">
      <w:pPr>
        <w:rPr>
          <w:szCs w:val="22"/>
        </w:rPr>
      </w:pPr>
    </w:p>
    <w:p w:rsidR="005C2E95" w:rsidRDefault="005C2E95">
      <w:pPr>
        <w:rPr>
          <w:b/>
        </w:rPr>
      </w:pPr>
    </w:p>
    <w:p w:rsidR="000B5251" w:rsidRDefault="00584451" w:rsidP="000B5251">
      <w:pPr>
        <w:rPr>
          <w:b/>
        </w:rPr>
      </w:pPr>
      <w:r>
        <w:rPr>
          <w:b/>
        </w:rPr>
        <w:t>15</w:t>
      </w:r>
      <w:r w:rsidR="00210AD7">
        <w:rPr>
          <w:b/>
        </w:rPr>
        <w:t xml:space="preserve">. APPENDICES </w:t>
      </w:r>
    </w:p>
    <w:p w:rsidR="000B5251" w:rsidRDefault="000B5251" w:rsidP="000B5251">
      <w:pPr>
        <w:rPr>
          <w:b/>
        </w:rPr>
      </w:pPr>
    </w:p>
    <w:p w:rsidR="000B5251" w:rsidRPr="00210AD7" w:rsidRDefault="000B5251" w:rsidP="000B5251">
      <w:pPr>
        <w:ind w:left="720" w:hanging="720"/>
        <w:rPr>
          <w:rFonts w:cs="Arial"/>
          <w:color w:val="000000" w:themeColor="text1"/>
        </w:rPr>
      </w:pPr>
      <w:r w:rsidRPr="00210AD7">
        <w:rPr>
          <w:rFonts w:cs="Arial"/>
          <w:color w:val="000000" w:themeColor="text1"/>
        </w:rPr>
        <w:t>Appendix A</w:t>
      </w:r>
      <w:r w:rsidR="00210AD7">
        <w:rPr>
          <w:rFonts w:cs="Arial"/>
          <w:color w:val="000000" w:themeColor="text1"/>
        </w:rPr>
        <w:tab/>
        <w:t>List of Investments as at 31 March 2018</w:t>
      </w:r>
    </w:p>
    <w:p w:rsidR="000B5251" w:rsidRDefault="00210AD7" w:rsidP="000B5251">
      <w:pPr>
        <w:ind w:left="720" w:hanging="720"/>
        <w:rPr>
          <w:rFonts w:cs="Arial"/>
          <w:color w:val="000000" w:themeColor="text1"/>
        </w:rPr>
      </w:pPr>
      <w:r>
        <w:rPr>
          <w:rFonts w:cs="Arial"/>
          <w:color w:val="000000" w:themeColor="text1"/>
        </w:rPr>
        <w:t>Appendix B</w:t>
      </w:r>
      <w:r>
        <w:rPr>
          <w:rFonts w:cs="Arial"/>
          <w:color w:val="000000" w:themeColor="text1"/>
        </w:rPr>
        <w:tab/>
        <w:t>Investment Counterparties 2017/18</w:t>
      </w:r>
    </w:p>
    <w:p w:rsidR="00210AD7" w:rsidRDefault="00210AD7" w:rsidP="000B5251">
      <w:pPr>
        <w:ind w:left="720" w:hanging="720"/>
        <w:rPr>
          <w:rFonts w:cs="Arial"/>
          <w:color w:val="000000" w:themeColor="text1"/>
        </w:rPr>
      </w:pPr>
      <w:r>
        <w:rPr>
          <w:rFonts w:cs="Arial"/>
          <w:color w:val="000000" w:themeColor="text1"/>
        </w:rPr>
        <w:t>Appendix C</w:t>
      </w:r>
      <w:r>
        <w:rPr>
          <w:rFonts w:cs="Arial"/>
          <w:color w:val="000000" w:themeColor="text1"/>
        </w:rPr>
        <w:tab/>
        <w:t>List of Investments as at 30 June 2018</w:t>
      </w:r>
    </w:p>
    <w:p w:rsidR="00210AD7" w:rsidRDefault="00210AD7" w:rsidP="000B5251">
      <w:pPr>
        <w:ind w:left="720" w:hanging="720"/>
        <w:rPr>
          <w:rFonts w:cs="Arial"/>
          <w:color w:val="000000" w:themeColor="text1"/>
        </w:rPr>
      </w:pPr>
      <w:r>
        <w:rPr>
          <w:rFonts w:cs="Arial"/>
          <w:color w:val="000000" w:themeColor="text1"/>
        </w:rPr>
        <w:t>Appendix D</w:t>
      </w:r>
      <w:r>
        <w:rPr>
          <w:rFonts w:cs="Arial"/>
          <w:color w:val="000000" w:themeColor="text1"/>
        </w:rPr>
        <w:tab/>
        <w:t>Investment Counterparties 2018/19</w:t>
      </w:r>
    </w:p>
    <w:p w:rsidR="00210AD7" w:rsidRDefault="00210AD7" w:rsidP="000B5251">
      <w:pPr>
        <w:ind w:left="720" w:hanging="720"/>
        <w:rPr>
          <w:rFonts w:cs="Arial"/>
          <w:color w:val="000000" w:themeColor="text1"/>
        </w:rPr>
      </w:pPr>
      <w:r>
        <w:rPr>
          <w:rFonts w:cs="Arial"/>
          <w:color w:val="000000" w:themeColor="text1"/>
        </w:rPr>
        <w:t>Appendix E</w:t>
      </w:r>
      <w:r>
        <w:rPr>
          <w:rFonts w:cs="Arial"/>
          <w:color w:val="000000" w:themeColor="text1"/>
        </w:rPr>
        <w:tab/>
        <w:t>Detailed economic commentary on developments during quarter ended 30/6/18</w:t>
      </w:r>
    </w:p>
    <w:p w:rsidR="00210AD7" w:rsidRPr="00210AD7" w:rsidRDefault="00210AD7" w:rsidP="000B5251">
      <w:pPr>
        <w:ind w:left="720" w:hanging="720"/>
        <w:rPr>
          <w:rFonts w:cs="Arial"/>
          <w:color w:val="000000" w:themeColor="text1"/>
        </w:rPr>
      </w:pPr>
      <w:r>
        <w:rPr>
          <w:rFonts w:cs="Arial"/>
          <w:color w:val="000000" w:themeColor="text1"/>
        </w:rPr>
        <w:t>Appendix F</w:t>
      </w:r>
      <w:r>
        <w:rPr>
          <w:rFonts w:cs="Arial"/>
          <w:color w:val="000000" w:themeColor="text1"/>
        </w:rPr>
        <w:tab/>
        <w:t>Detailed commentary on interest rate forecasts</w:t>
      </w:r>
    </w:p>
    <w:p w:rsidR="001C5E49" w:rsidRPr="00210AD7" w:rsidRDefault="001C5E49" w:rsidP="000B5251">
      <w:pPr>
        <w:tabs>
          <w:tab w:val="left" w:pos="2839"/>
        </w:tabs>
        <w:rPr>
          <w:rFonts w:cs="Arial"/>
          <w:color w:val="000000" w:themeColor="text1"/>
        </w:rPr>
      </w:pPr>
    </w:p>
    <w:p w:rsidR="001C5E49" w:rsidRPr="00810DD3" w:rsidRDefault="001C5E49" w:rsidP="001C5E49">
      <w:pPr>
        <w:tabs>
          <w:tab w:val="left" w:pos="2839"/>
        </w:tabs>
        <w:ind w:left="426" w:hanging="426"/>
        <w:rPr>
          <w:rFonts w:cs="Arial"/>
          <w:color w:val="000000" w:themeColor="text1"/>
        </w:rPr>
      </w:pPr>
    </w:p>
    <w:p w:rsidR="001C5E49" w:rsidRPr="00810DD3" w:rsidRDefault="000B5251" w:rsidP="001C5E49">
      <w:pPr>
        <w:tabs>
          <w:tab w:val="left" w:pos="2839"/>
        </w:tabs>
        <w:ind w:left="426" w:hanging="426"/>
        <w:rPr>
          <w:rFonts w:cs="Arial"/>
          <w:color w:val="000000" w:themeColor="text1"/>
        </w:rPr>
      </w:pPr>
      <w:r w:rsidRPr="00810DD3">
        <w:rPr>
          <w:rFonts w:cs="Arial"/>
          <w:color w:val="000000" w:themeColor="text1"/>
        </w:rPr>
        <w:lastRenderedPageBreak/>
        <w:t>EL</w:t>
      </w:r>
      <w:r w:rsidR="001C5E49" w:rsidRPr="00810DD3">
        <w:rPr>
          <w:rFonts w:cs="Arial"/>
          <w:color w:val="000000" w:themeColor="text1"/>
        </w:rPr>
        <w:t>T Member’s Name</w:t>
      </w:r>
      <w:r w:rsidR="00810DD3">
        <w:rPr>
          <w:rFonts w:cs="Arial"/>
          <w:color w:val="000000" w:themeColor="text1"/>
        </w:rPr>
        <w:t>: Helen Seechurn</w:t>
      </w:r>
    </w:p>
    <w:p w:rsidR="001C5E49" w:rsidRPr="00E66713" w:rsidRDefault="001C5E49" w:rsidP="001C5E49">
      <w:pPr>
        <w:tabs>
          <w:tab w:val="left" w:pos="2839"/>
        </w:tabs>
        <w:rPr>
          <w:rFonts w:cs="Arial"/>
          <w:color w:val="0070C0"/>
        </w:rPr>
      </w:pPr>
      <w:r w:rsidRPr="00810DD3">
        <w:rPr>
          <w:rFonts w:cs="Arial"/>
          <w:color w:val="000000" w:themeColor="text1"/>
        </w:rPr>
        <w:t>Job Title</w:t>
      </w:r>
      <w:r w:rsidR="00810DD3">
        <w:rPr>
          <w:rFonts w:cs="Arial"/>
          <w:color w:val="000000" w:themeColor="text1"/>
        </w:rPr>
        <w:t>: Deputy Chief Executive (Resources &amp; Transformation)</w:t>
      </w:r>
      <w:r w:rsidR="00810DD3">
        <w:rPr>
          <w:rFonts w:cs="Arial"/>
          <w:color w:val="000000" w:themeColor="text1"/>
        </w:rPr>
        <w:tab/>
      </w:r>
      <w:r w:rsidRPr="00810DD3">
        <w:rPr>
          <w:rFonts w:cs="Arial"/>
          <w:color w:val="000000" w:themeColor="text1"/>
        </w:rPr>
        <w:t xml:space="preserve"> </w:t>
      </w:r>
    </w:p>
    <w:p w:rsidR="001C5E49" w:rsidRPr="007F1945" w:rsidRDefault="001C5E49"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0"/>
        <w:gridCol w:w="1559"/>
        <w:gridCol w:w="2380"/>
      </w:tblGrid>
      <w:tr w:rsidR="001C5E49" w:rsidTr="00E2196F">
        <w:tc>
          <w:tcPr>
            <w:tcW w:w="5700" w:type="dxa"/>
            <w:shd w:val="clear" w:color="auto" w:fill="auto"/>
          </w:tcPr>
          <w:p w:rsidR="001C5E49" w:rsidRPr="0031059E" w:rsidRDefault="001C5E49" w:rsidP="00E2196F">
            <w:pPr>
              <w:rPr>
                <w:rFonts w:cs="Arial"/>
              </w:rPr>
            </w:pPr>
            <w:r w:rsidRPr="0031059E">
              <w:rPr>
                <w:rFonts w:cs="Arial"/>
              </w:rPr>
              <w:t>Report Author:</w:t>
            </w:r>
          </w:p>
        </w:tc>
        <w:tc>
          <w:tcPr>
            <w:tcW w:w="1559" w:type="dxa"/>
            <w:shd w:val="clear" w:color="auto" w:fill="auto"/>
          </w:tcPr>
          <w:p w:rsidR="001C5E49" w:rsidRPr="0031059E" w:rsidRDefault="001C5E49" w:rsidP="00E2196F">
            <w:pPr>
              <w:rPr>
                <w:rFonts w:cs="Arial"/>
              </w:rPr>
            </w:pPr>
            <w:r w:rsidRPr="0031059E">
              <w:rPr>
                <w:rFonts w:cs="Arial"/>
              </w:rPr>
              <w:t>Telephone:</w:t>
            </w:r>
          </w:p>
        </w:tc>
        <w:tc>
          <w:tcPr>
            <w:tcW w:w="2380" w:type="dxa"/>
            <w:shd w:val="clear" w:color="auto" w:fill="auto"/>
          </w:tcPr>
          <w:p w:rsidR="001C5E49" w:rsidRPr="0031059E" w:rsidRDefault="001C5E49" w:rsidP="00E2196F">
            <w:pPr>
              <w:rPr>
                <w:rFonts w:cs="Arial"/>
              </w:rPr>
            </w:pPr>
            <w:r w:rsidRPr="0031059E">
              <w:rPr>
                <w:rFonts w:cs="Arial"/>
              </w:rPr>
              <w:t>Date:</w:t>
            </w:r>
          </w:p>
        </w:tc>
      </w:tr>
      <w:tr w:rsidR="00C903AC" w:rsidTr="00E2196F">
        <w:tc>
          <w:tcPr>
            <w:tcW w:w="5700" w:type="dxa"/>
            <w:shd w:val="clear" w:color="auto" w:fill="auto"/>
          </w:tcPr>
          <w:p w:rsidR="00C903AC" w:rsidRPr="00810DD3" w:rsidRDefault="00810DD3" w:rsidP="00C903AC">
            <w:pPr>
              <w:rPr>
                <w:rFonts w:cs="Arial"/>
                <w:color w:val="000000" w:themeColor="text1"/>
              </w:rPr>
            </w:pPr>
            <w:r w:rsidRPr="00810DD3">
              <w:rPr>
                <w:rFonts w:cs="Arial"/>
                <w:color w:val="000000" w:themeColor="text1"/>
              </w:rPr>
              <w:t>Michael Jackson</w:t>
            </w:r>
          </w:p>
          <w:p w:rsidR="00810DD3" w:rsidRPr="00810DD3" w:rsidRDefault="00810DD3" w:rsidP="00C903AC">
            <w:pPr>
              <w:rPr>
                <w:rFonts w:cs="Arial"/>
                <w:color w:val="000000" w:themeColor="text1"/>
              </w:rPr>
            </w:pPr>
            <w:r w:rsidRPr="00810DD3">
              <w:rPr>
                <w:rFonts w:cs="Arial"/>
                <w:color w:val="000000" w:themeColor="text1"/>
              </w:rPr>
              <w:t>Principal Financial Accountant</w:t>
            </w:r>
          </w:p>
          <w:p w:rsidR="00C903AC" w:rsidRPr="0031059E" w:rsidRDefault="00C903AC" w:rsidP="00C903AC">
            <w:pPr>
              <w:ind w:left="-539" w:firstLine="539"/>
              <w:rPr>
                <w:rFonts w:cs="Arial"/>
              </w:rPr>
            </w:pPr>
          </w:p>
        </w:tc>
        <w:tc>
          <w:tcPr>
            <w:tcW w:w="1559" w:type="dxa"/>
            <w:shd w:val="clear" w:color="auto" w:fill="auto"/>
          </w:tcPr>
          <w:p w:rsidR="00810DD3" w:rsidRDefault="00810DD3" w:rsidP="00C903AC">
            <w:pPr>
              <w:rPr>
                <w:rFonts w:cs="Arial"/>
              </w:rPr>
            </w:pPr>
            <w:r>
              <w:rPr>
                <w:rFonts w:cs="Arial"/>
              </w:rPr>
              <w:t>01257</w:t>
            </w:r>
          </w:p>
          <w:p w:rsidR="00C903AC" w:rsidRPr="0031059E" w:rsidRDefault="00810DD3" w:rsidP="00C903AC">
            <w:pPr>
              <w:rPr>
                <w:rFonts w:cs="Arial"/>
              </w:rPr>
            </w:pPr>
            <w:r>
              <w:rPr>
                <w:rFonts w:cs="Arial"/>
              </w:rPr>
              <w:t>515490</w:t>
            </w:r>
          </w:p>
        </w:tc>
        <w:tc>
          <w:tcPr>
            <w:tcW w:w="2380" w:type="dxa"/>
            <w:shd w:val="clear" w:color="auto" w:fill="auto"/>
          </w:tcPr>
          <w:p w:rsidR="00810DD3" w:rsidRDefault="00810DD3" w:rsidP="00C903AC">
            <w:pPr>
              <w:rPr>
                <w:rFonts w:cs="Arial"/>
              </w:rPr>
            </w:pPr>
          </w:p>
          <w:p w:rsidR="00C903AC" w:rsidRPr="0031059E" w:rsidRDefault="00810DD3" w:rsidP="00810DD3">
            <w:pPr>
              <w:jc w:val="center"/>
              <w:rPr>
                <w:rFonts w:cs="Arial"/>
              </w:rPr>
            </w:pPr>
            <w:r>
              <w:rPr>
                <w:rFonts w:cs="Arial"/>
              </w:rPr>
              <w:t>11/07/18</w:t>
            </w:r>
          </w:p>
        </w:tc>
      </w:tr>
    </w:tbl>
    <w:p w:rsidR="001C5E49" w:rsidRPr="009725FB" w:rsidRDefault="001C5E49" w:rsidP="001C5E49">
      <w:pPr>
        <w:tabs>
          <w:tab w:val="left" w:pos="2839"/>
        </w:tabs>
        <w:rPr>
          <w:rFonts w:cs="Arial"/>
        </w:rPr>
      </w:pPr>
    </w:p>
    <w:sectPr w:rsidR="001C5E49" w:rsidRPr="009725FB" w:rsidSect="00E971A2">
      <w:footerReference w:type="default" r:id="rId21"/>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96F" w:rsidRDefault="00E2196F">
      <w:r>
        <w:separator/>
      </w:r>
    </w:p>
  </w:endnote>
  <w:endnote w:type="continuationSeparator" w:id="0">
    <w:p w:rsidR="00E2196F" w:rsidRDefault="00E21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B65" w:rsidRPr="00FD7B65" w:rsidRDefault="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E56F24">
      <w:rPr>
        <w:noProof/>
        <w:sz w:val="24"/>
      </w:rPr>
      <w:t>1</w:t>
    </w:r>
    <w:r w:rsidRPr="00FD7B65">
      <w:rPr>
        <w:noProof/>
        <w:sz w:val="24"/>
      </w:rPr>
      <w:fldChar w:fldCharType="end"/>
    </w:r>
  </w:p>
  <w:p w:rsidR="00FD7B65" w:rsidRDefault="00FD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96F" w:rsidRDefault="00E2196F">
      <w:r>
        <w:separator/>
      </w:r>
    </w:p>
  </w:footnote>
  <w:footnote w:type="continuationSeparator" w:id="0">
    <w:p w:rsidR="00E2196F" w:rsidRDefault="00E219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8">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E235DD2"/>
    <w:multiLevelType w:val="hybridMultilevel"/>
    <w:tmpl w:val="256264B8"/>
    <w:lvl w:ilvl="0" w:tplc="745EDB26">
      <w:start w:val="1"/>
      <w:numFmt w:val="decimal"/>
      <w:lvlText w:val="%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10"/>
  </w:num>
  <w:num w:numId="2">
    <w:abstractNumId w:val="12"/>
  </w:num>
  <w:num w:numId="3">
    <w:abstractNumId w:val="14"/>
  </w:num>
  <w:num w:numId="4">
    <w:abstractNumId w:val="8"/>
  </w:num>
  <w:num w:numId="5">
    <w:abstractNumId w:val="11"/>
  </w:num>
  <w:num w:numId="6">
    <w:abstractNumId w:val="6"/>
  </w:num>
  <w:num w:numId="7">
    <w:abstractNumId w:val="4"/>
  </w:num>
  <w:num w:numId="8">
    <w:abstractNumId w:val="5"/>
  </w:num>
  <w:num w:numId="9">
    <w:abstractNumId w:val="1"/>
  </w:num>
  <w:num w:numId="10">
    <w:abstractNumId w:val="2"/>
  </w:num>
  <w:num w:numId="11">
    <w:abstractNumId w:val="3"/>
  </w:num>
  <w:num w:numId="12">
    <w:abstractNumId w:val="9"/>
  </w:num>
  <w:num w:numId="13">
    <w:abstractNumId w:val="0"/>
  </w:num>
  <w:num w:numId="14">
    <w:abstractNumId w:val="15"/>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1BB"/>
    <w:rsid w:val="00002742"/>
    <w:rsid w:val="00016DD3"/>
    <w:rsid w:val="000200DE"/>
    <w:rsid w:val="00025DED"/>
    <w:rsid w:val="000604CA"/>
    <w:rsid w:val="000B5251"/>
    <w:rsid w:val="000E10FE"/>
    <w:rsid w:val="000F2C8A"/>
    <w:rsid w:val="0011642A"/>
    <w:rsid w:val="001544DD"/>
    <w:rsid w:val="00184E1D"/>
    <w:rsid w:val="001938D6"/>
    <w:rsid w:val="001C5E49"/>
    <w:rsid w:val="00210AD7"/>
    <w:rsid w:val="002221BD"/>
    <w:rsid w:val="0025591B"/>
    <w:rsid w:val="002820A5"/>
    <w:rsid w:val="002C4A2A"/>
    <w:rsid w:val="002E4FF4"/>
    <w:rsid w:val="002E58BB"/>
    <w:rsid w:val="002F5C5E"/>
    <w:rsid w:val="00342AB1"/>
    <w:rsid w:val="00345C71"/>
    <w:rsid w:val="00386AAD"/>
    <w:rsid w:val="003902A2"/>
    <w:rsid w:val="00392E2E"/>
    <w:rsid w:val="003A1B3F"/>
    <w:rsid w:val="003A23D3"/>
    <w:rsid w:val="003A2919"/>
    <w:rsid w:val="003B1E6D"/>
    <w:rsid w:val="003C36EB"/>
    <w:rsid w:val="003C4253"/>
    <w:rsid w:val="003E33E6"/>
    <w:rsid w:val="003F5603"/>
    <w:rsid w:val="00405D4A"/>
    <w:rsid w:val="004218EA"/>
    <w:rsid w:val="00442C46"/>
    <w:rsid w:val="00466239"/>
    <w:rsid w:val="00474DA8"/>
    <w:rsid w:val="0047741D"/>
    <w:rsid w:val="004A45D4"/>
    <w:rsid w:val="004B3293"/>
    <w:rsid w:val="004B33F6"/>
    <w:rsid w:val="004D7260"/>
    <w:rsid w:val="004F23B3"/>
    <w:rsid w:val="005041BB"/>
    <w:rsid w:val="00525728"/>
    <w:rsid w:val="00533525"/>
    <w:rsid w:val="00547120"/>
    <w:rsid w:val="00547481"/>
    <w:rsid w:val="005665C3"/>
    <w:rsid w:val="00576A82"/>
    <w:rsid w:val="00584451"/>
    <w:rsid w:val="005A26AD"/>
    <w:rsid w:val="005B0C36"/>
    <w:rsid w:val="005C2E95"/>
    <w:rsid w:val="005C6014"/>
    <w:rsid w:val="005D4F59"/>
    <w:rsid w:val="0060374B"/>
    <w:rsid w:val="00630F86"/>
    <w:rsid w:val="00633396"/>
    <w:rsid w:val="006456FA"/>
    <w:rsid w:val="00645A0B"/>
    <w:rsid w:val="006555E6"/>
    <w:rsid w:val="00677ED0"/>
    <w:rsid w:val="006879CA"/>
    <w:rsid w:val="006B645E"/>
    <w:rsid w:val="006B7116"/>
    <w:rsid w:val="006C04C1"/>
    <w:rsid w:val="006C209A"/>
    <w:rsid w:val="006E09FB"/>
    <w:rsid w:val="006F2214"/>
    <w:rsid w:val="006F450B"/>
    <w:rsid w:val="006F76A3"/>
    <w:rsid w:val="00707E99"/>
    <w:rsid w:val="00712E3F"/>
    <w:rsid w:val="0075776F"/>
    <w:rsid w:val="00772B9C"/>
    <w:rsid w:val="00792A2B"/>
    <w:rsid w:val="00810DD3"/>
    <w:rsid w:val="00876244"/>
    <w:rsid w:val="00893AD2"/>
    <w:rsid w:val="00893BEE"/>
    <w:rsid w:val="008A2F6B"/>
    <w:rsid w:val="008A42E3"/>
    <w:rsid w:val="008A77AB"/>
    <w:rsid w:val="008A7FAA"/>
    <w:rsid w:val="008B41C5"/>
    <w:rsid w:val="008C3B1A"/>
    <w:rsid w:val="008D623F"/>
    <w:rsid w:val="008F4B91"/>
    <w:rsid w:val="0090542C"/>
    <w:rsid w:val="009350CB"/>
    <w:rsid w:val="009538AE"/>
    <w:rsid w:val="00980267"/>
    <w:rsid w:val="00983CD5"/>
    <w:rsid w:val="00992E79"/>
    <w:rsid w:val="009A6B16"/>
    <w:rsid w:val="009A714A"/>
    <w:rsid w:val="009C1143"/>
    <w:rsid w:val="009E48E0"/>
    <w:rsid w:val="00A1406A"/>
    <w:rsid w:val="00A22D02"/>
    <w:rsid w:val="00A30426"/>
    <w:rsid w:val="00A4702E"/>
    <w:rsid w:val="00A50754"/>
    <w:rsid w:val="00A5634A"/>
    <w:rsid w:val="00A56681"/>
    <w:rsid w:val="00A609DF"/>
    <w:rsid w:val="00A76482"/>
    <w:rsid w:val="00AC4A99"/>
    <w:rsid w:val="00AE00C9"/>
    <w:rsid w:val="00AE43EC"/>
    <w:rsid w:val="00B05FE8"/>
    <w:rsid w:val="00B1788B"/>
    <w:rsid w:val="00B443DD"/>
    <w:rsid w:val="00B51DB8"/>
    <w:rsid w:val="00B56722"/>
    <w:rsid w:val="00B62D79"/>
    <w:rsid w:val="00B70B91"/>
    <w:rsid w:val="00B716F5"/>
    <w:rsid w:val="00B72A06"/>
    <w:rsid w:val="00B766C4"/>
    <w:rsid w:val="00B878E6"/>
    <w:rsid w:val="00B92298"/>
    <w:rsid w:val="00BA2606"/>
    <w:rsid w:val="00BC6635"/>
    <w:rsid w:val="00BE2A3F"/>
    <w:rsid w:val="00C022F9"/>
    <w:rsid w:val="00C209E3"/>
    <w:rsid w:val="00C30128"/>
    <w:rsid w:val="00C51F71"/>
    <w:rsid w:val="00C52450"/>
    <w:rsid w:val="00C64ED1"/>
    <w:rsid w:val="00C66BAA"/>
    <w:rsid w:val="00C903AC"/>
    <w:rsid w:val="00CA207E"/>
    <w:rsid w:val="00CB32DF"/>
    <w:rsid w:val="00CC3246"/>
    <w:rsid w:val="00CE3DA1"/>
    <w:rsid w:val="00CE4482"/>
    <w:rsid w:val="00CF6B60"/>
    <w:rsid w:val="00D03328"/>
    <w:rsid w:val="00D24583"/>
    <w:rsid w:val="00D36638"/>
    <w:rsid w:val="00D37BAE"/>
    <w:rsid w:val="00D772AB"/>
    <w:rsid w:val="00D90A00"/>
    <w:rsid w:val="00D91845"/>
    <w:rsid w:val="00D9371C"/>
    <w:rsid w:val="00DB3FD0"/>
    <w:rsid w:val="00DE5E12"/>
    <w:rsid w:val="00E2196F"/>
    <w:rsid w:val="00E2276E"/>
    <w:rsid w:val="00E31F2A"/>
    <w:rsid w:val="00E41950"/>
    <w:rsid w:val="00E569CB"/>
    <w:rsid w:val="00E56F24"/>
    <w:rsid w:val="00E577A2"/>
    <w:rsid w:val="00E60A53"/>
    <w:rsid w:val="00E63940"/>
    <w:rsid w:val="00E733A5"/>
    <w:rsid w:val="00E753EC"/>
    <w:rsid w:val="00E84459"/>
    <w:rsid w:val="00E963AC"/>
    <w:rsid w:val="00E971A2"/>
    <w:rsid w:val="00EB2D32"/>
    <w:rsid w:val="00EB7C94"/>
    <w:rsid w:val="00ED257A"/>
    <w:rsid w:val="00F3057A"/>
    <w:rsid w:val="00F30E9C"/>
    <w:rsid w:val="00F31C99"/>
    <w:rsid w:val="00F43895"/>
    <w:rsid w:val="00F55E4D"/>
    <w:rsid w:val="00F61752"/>
    <w:rsid w:val="00F67F95"/>
    <w:rsid w:val="00FC096A"/>
    <w:rsid w:val="00FD22FD"/>
    <w:rsid w:val="00FD7B65"/>
    <w:rsid w:val="00FE2BB2"/>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80DDA-EDD7-4745-A188-5B3959271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253</TotalTime>
  <Pages>10</Pages>
  <Words>2202</Words>
  <Characters>11920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Michael Jackson</cp:lastModifiedBy>
  <cp:revision>9</cp:revision>
  <cp:lastPrinted>2018-07-12T09:39:00Z</cp:lastPrinted>
  <dcterms:created xsi:type="dcterms:W3CDTF">2018-07-12T08:40:00Z</dcterms:created>
  <dcterms:modified xsi:type="dcterms:W3CDTF">2018-07-12T12:53:00Z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1564650282</vt:i4>
  </property>
  <property fmtid="{D5CDD505-2E9C-101B-9397-08002B2CF9AE}" pid="3" name="_NewReviewCycle">
    <vt:lpwstr/>
  </property>
  <property fmtid="{D5CDD505-2E9C-101B-9397-08002B2CF9AE}" pid="4" name="_EmailSubject">
    <vt:lpwstr>Treasury management report to Governance Committee</vt:lpwstr>
  </property>
  <property fmtid="{D5CDD505-2E9C-101B-9397-08002B2CF9AE}" pid="5" name="_AuthorEmail">
    <vt:lpwstr>michael.jackson@chorley.gov.uk</vt:lpwstr>
  </property>
  <property fmtid="{D5CDD505-2E9C-101B-9397-08002B2CF9AE}" pid="6" name="_AuthorEmailDisplayName">
    <vt:lpwstr>Michael Jackson</vt:lpwstr>
  </property>
</Properties>
</file>